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E905" w14:textId="77777777" w:rsidR="004D643A" w:rsidRDefault="004D643A" w:rsidP="36FE45F8">
      <w:pPr>
        <w:rPr>
          <w:b/>
          <w:bCs/>
        </w:rPr>
      </w:pPr>
    </w:p>
    <w:p w14:paraId="05BA8A13" w14:textId="74D588FC" w:rsidR="004D643A" w:rsidRDefault="00810EBF" w:rsidP="36FE45F8">
      <w:pPr>
        <w:rPr>
          <w:b/>
          <w:bCs/>
        </w:rPr>
      </w:pPr>
      <w:r w:rsidRPr="00810EBF">
        <w:rPr>
          <w:b/>
          <w:bCs/>
        </w:rPr>
        <w:t>Table 9.3.3.1 Operational Work Code</w:t>
      </w:r>
    </w:p>
    <w:p w14:paraId="5F03B1D7" w14:textId="77777777" w:rsidR="00810EBF" w:rsidRPr="00810EBF" w:rsidRDefault="00810EBF" w:rsidP="36FE45F8">
      <w:pPr>
        <w:rPr>
          <w:b/>
          <w:bCs/>
        </w:rPr>
      </w:pP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828"/>
        <w:gridCol w:w="4677"/>
        <w:gridCol w:w="6804"/>
      </w:tblGrid>
      <w:tr w:rsidR="00526799" w:rsidRPr="00BA6927" w14:paraId="0BCE0A09" w14:textId="69A24CCB" w:rsidTr="007F60B8">
        <w:trPr>
          <w:trHeight w:val="300"/>
          <w:tblHeader/>
        </w:trPr>
        <w:tc>
          <w:tcPr>
            <w:tcW w:w="3828" w:type="dxa"/>
            <w:shd w:val="clear" w:color="auto" w:fill="227ACB"/>
            <w:vAlign w:val="center"/>
          </w:tcPr>
          <w:p w14:paraId="79DC7009" w14:textId="2CB7BB65" w:rsidR="00526799" w:rsidRPr="00BA6927" w:rsidRDefault="00753870" w:rsidP="00753870">
            <w:pPr>
              <w:ind w:left="113" w:right="113"/>
              <w:rPr>
                <w:rFonts w:eastAsia="Calibri" w:cs="Arial"/>
                <w:b/>
                <w:color w:val="FFFFFF"/>
                <w:szCs w:val="20"/>
                <w:lang w:val="en-US"/>
              </w:rPr>
            </w:pPr>
            <w:r w:rsidRPr="00BA6927">
              <w:rPr>
                <w:rFonts w:eastAsia="Calibri" w:cs="Arial"/>
                <w:b/>
                <w:color w:val="FFFFFF"/>
                <w:szCs w:val="20"/>
                <w:lang w:val="en-US"/>
              </w:rPr>
              <w:t>PERFORMANCE OUTCOMES</w:t>
            </w:r>
          </w:p>
        </w:tc>
        <w:tc>
          <w:tcPr>
            <w:tcW w:w="4677" w:type="dxa"/>
            <w:shd w:val="clear" w:color="auto" w:fill="227ACB"/>
            <w:vAlign w:val="center"/>
          </w:tcPr>
          <w:p w14:paraId="18C2FF6F" w14:textId="61273C09" w:rsidR="00526799" w:rsidRPr="00BA6927" w:rsidRDefault="00753870" w:rsidP="00753870">
            <w:pPr>
              <w:ind w:left="113" w:right="113"/>
              <w:rPr>
                <w:rFonts w:eastAsia="Calibri" w:cs="Arial"/>
                <w:b/>
                <w:color w:val="FFFFFF"/>
                <w:szCs w:val="20"/>
                <w:lang w:val="en-US"/>
              </w:rPr>
            </w:pPr>
            <w:r w:rsidRPr="00BA6927">
              <w:rPr>
                <w:rFonts w:eastAsia="Calibri" w:cs="Arial"/>
                <w:b/>
                <w:color w:val="FFFFFF"/>
                <w:szCs w:val="20"/>
                <w:lang w:val="en-US"/>
              </w:rPr>
              <w:t>ACCEPTABLE OUTCOMES</w:t>
            </w:r>
          </w:p>
        </w:tc>
        <w:tc>
          <w:tcPr>
            <w:tcW w:w="6804" w:type="dxa"/>
            <w:shd w:val="clear" w:color="auto" w:fill="227ACB"/>
          </w:tcPr>
          <w:p w14:paraId="139572D6" w14:textId="570FFB9F" w:rsidR="008D2A89" w:rsidRPr="008D2A89" w:rsidRDefault="008D2A89" w:rsidP="008D2A89">
            <w:pPr>
              <w:ind w:left="113" w:right="113"/>
              <w:rPr>
                <w:rFonts w:eastAsia="Calibri" w:cs="Arial"/>
                <w:b/>
                <w:color w:val="FFFFFF"/>
                <w:szCs w:val="20"/>
                <w:lang w:val="en-US"/>
              </w:rPr>
            </w:pPr>
            <w:r w:rsidRPr="008D2A89">
              <w:rPr>
                <w:rFonts w:eastAsia="Calibri" w:cs="Arial"/>
                <w:b/>
                <w:color w:val="FFFFFF"/>
                <w:szCs w:val="20"/>
                <w:lang w:val="en-US"/>
              </w:rPr>
              <w:t>P</w:t>
            </w:r>
            <w:r w:rsidR="00753870">
              <w:rPr>
                <w:rFonts w:eastAsia="Calibri" w:cs="Arial"/>
                <w:b/>
                <w:color w:val="FFFFFF"/>
                <w:szCs w:val="20"/>
                <w:lang w:val="en-US"/>
              </w:rPr>
              <w:t>ROPOSED SOLUTION</w:t>
            </w:r>
            <w:r w:rsidRPr="008D2A89">
              <w:rPr>
                <w:rFonts w:eastAsia="Calibri" w:cs="Arial"/>
                <w:b/>
                <w:color w:val="FFFFFF"/>
                <w:szCs w:val="20"/>
                <w:lang w:val="en-US"/>
              </w:rPr>
              <w:t xml:space="preserve">  </w:t>
            </w:r>
          </w:p>
          <w:p w14:paraId="1268F36C" w14:textId="67634731" w:rsidR="00526799" w:rsidRPr="00BA6927" w:rsidRDefault="008D2A89" w:rsidP="008D2A89">
            <w:pPr>
              <w:ind w:left="113" w:right="113"/>
              <w:rPr>
                <w:rFonts w:eastAsia="Calibri" w:cs="Arial"/>
                <w:b/>
                <w:color w:val="FFFFFF"/>
                <w:szCs w:val="20"/>
                <w:lang w:val="en-US"/>
              </w:rPr>
            </w:pPr>
            <w:r w:rsidRPr="008D2A89">
              <w:rPr>
                <w:rFonts w:eastAsia="Calibri" w:cs="Arial"/>
                <w:b/>
                <w:color w:val="FFFFFF"/>
                <w:szCs w:val="20"/>
                <w:lang w:val="en-US"/>
              </w:rPr>
              <w:t>Explanation of how the development addresses the Acceptable Outcome and/or Performance Outcome.</w:t>
            </w:r>
          </w:p>
        </w:tc>
      </w:tr>
      <w:tr w:rsidR="008D2A89" w:rsidRPr="00526799" w14:paraId="74A3497F" w14:textId="2A0B63CA" w:rsidTr="00DE5B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12000E22" w14:textId="2FF687F5" w:rsidR="008D2A89" w:rsidRPr="00526799" w:rsidRDefault="008D2A89" w:rsidP="00526799">
            <w:pPr>
              <w:ind w:left="113" w:right="113"/>
              <w:rPr>
                <w:rFonts w:eastAsia="Calibri" w:cs="Arial"/>
                <w:b/>
                <w:szCs w:val="20"/>
                <w:lang w:val="en-US"/>
              </w:rPr>
            </w:pPr>
            <w:r w:rsidRPr="00526799">
              <w:rPr>
                <w:rFonts w:eastAsia="Calibri" w:cs="Arial"/>
                <w:b/>
                <w:szCs w:val="20"/>
                <w:lang w:val="en-US"/>
              </w:rPr>
              <w:t>For accepted subject to requirements and assessable development (code, code (fast tracked) and impact)</w:t>
            </w:r>
          </w:p>
        </w:tc>
      </w:tr>
      <w:tr w:rsidR="008D2A89" w:rsidRPr="00526799" w14:paraId="4EAA187D" w14:textId="5A535CD0" w:rsidTr="00995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4B1C8662" w14:textId="03066982" w:rsidR="008D2A89" w:rsidRPr="00526799" w:rsidRDefault="008D2A89" w:rsidP="00526799">
            <w:pPr>
              <w:ind w:left="113" w:right="113"/>
              <w:rPr>
                <w:rFonts w:eastAsia="Calibri" w:cs="Arial"/>
                <w:b/>
                <w:szCs w:val="20"/>
                <w:lang w:val="en-US"/>
              </w:rPr>
            </w:pPr>
            <w:r w:rsidRPr="00526799">
              <w:rPr>
                <w:rFonts w:eastAsia="Calibri" w:cs="Arial"/>
                <w:b/>
                <w:szCs w:val="20"/>
                <w:lang w:val="en-US"/>
              </w:rPr>
              <w:t>Works for Infrastructure (water supply)</w:t>
            </w:r>
          </w:p>
        </w:tc>
      </w:tr>
      <w:tr w:rsidR="00526799" w:rsidRPr="00526799" w14:paraId="20ACCFBB" w14:textId="6DB0A362"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6E7A648D"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PO1</w:t>
            </w:r>
          </w:p>
          <w:p w14:paraId="687059B3"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Premises have an adequate volume and supply of water that:</w:t>
            </w:r>
          </w:p>
          <w:p w14:paraId="392E1832" w14:textId="77777777" w:rsidR="00526799" w:rsidRPr="00526799" w:rsidRDefault="00526799" w:rsidP="007F60B8">
            <w:pPr>
              <w:numPr>
                <w:ilvl w:val="0"/>
                <w:numId w:val="1"/>
              </w:numPr>
              <w:tabs>
                <w:tab w:val="left" w:pos="666"/>
                <w:tab w:val="left" w:pos="667"/>
              </w:tabs>
              <w:ind w:right="113"/>
              <w:jc w:val="both"/>
              <w:rPr>
                <w:rFonts w:eastAsia="Calibri" w:cs="Arial"/>
                <w:szCs w:val="20"/>
                <w:lang w:val="en-US"/>
              </w:rPr>
            </w:pPr>
            <w:r w:rsidRPr="00526799">
              <w:rPr>
                <w:rFonts w:eastAsia="Calibri" w:cs="Arial"/>
                <w:szCs w:val="20"/>
                <w:lang w:val="en-US"/>
              </w:rPr>
              <w:t xml:space="preserve">meets the needs of </w:t>
            </w:r>
            <w:proofErr w:type="gramStart"/>
            <w:r w:rsidRPr="00526799">
              <w:rPr>
                <w:rFonts w:eastAsia="Calibri" w:cs="Arial"/>
                <w:szCs w:val="20"/>
                <w:lang w:val="en-US"/>
              </w:rPr>
              <w:t>users;</w:t>
            </w:r>
            <w:proofErr w:type="gramEnd"/>
          </w:p>
          <w:p w14:paraId="38630CC8" w14:textId="77777777" w:rsidR="00526799" w:rsidRPr="00526799" w:rsidRDefault="00526799" w:rsidP="007F60B8">
            <w:pPr>
              <w:numPr>
                <w:ilvl w:val="0"/>
                <w:numId w:val="1"/>
              </w:numPr>
              <w:tabs>
                <w:tab w:val="left" w:pos="666"/>
                <w:tab w:val="left" w:pos="667"/>
              </w:tabs>
              <w:ind w:right="113"/>
              <w:jc w:val="both"/>
              <w:rPr>
                <w:rFonts w:eastAsia="Calibri" w:cs="Arial"/>
                <w:szCs w:val="20"/>
                <w:lang w:val="en-US"/>
              </w:rPr>
            </w:pPr>
            <w:r w:rsidRPr="00526799">
              <w:rPr>
                <w:rFonts w:eastAsia="Calibri" w:cs="Arial"/>
                <w:szCs w:val="20"/>
                <w:lang w:val="en-US"/>
              </w:rPr>
              <w:t xml:space="preserve">is adequate for firefighting </w:t>
            </w:r>
            <w:proofErr w:type="gramStart"/>
            <w:r w:rsidRPr="00526799">
              <w:rPr>
                <w:rFonts w:eastAsia="Calibri" w:cs="Arial"/>
                <w:szCs w:val="20"/>
                <w:lang w:val="en-US"/>
              </w:rPr>
              <w:t>purposes;</w:t>
            </w:r>
            <w:proofErr w:type="gramEnd"/>
          </w:p>
          <w:p w14:paraId="4AEE2D99" w14:textId="77777777" w:rsidR="00526799" w:rsidRPr="00526799" w:rsidRDefault="00526799" w:rsidP="007F60B8">
            <w:pPr>
              <w:numPr>
                <w:ilvl w:val="0"/>
                <w:numId w:val="1"/>
              </w:numPr>
              <w:tabs>
                <w:tab w:val="left" w:pos="666"/>
                <w:tab w:val="left" w:pos="667"/>
              </w:tabs>
              <w:ind w:right="113"/>
              <w:jc w:val="both"/>
              <w:rPr>
                <w:rFonts w:eastAsia="Calibri" w:cs="Arial"/>
                <w:szCs w:val="20"/>
                <w:lang w:val="en-US"/>
              </w:rPr>
            </w:pPr>
            <w:r w:rsidRPr="00526799">
              <w:rPr>
                <w:rFonts w:eastAsia="Calibri" w:cs="Arial"/>
                <w:szCs w:val="20"/>
                <w:lang w:val="en-US"/>
              </w:rPr>
              <w:t xml:space="preserve">ensures </w:t>
            </w:r>
            <w:proofErr w:type="gramStart"/>
            <w:r w:rsidRPr="00526799">
              <w:rPr>
                <w:rFonts w:eastAsia="Calibri" w:cs="Arial"/>
                <w:szCs w:val="20"/>
                <w:lang w:val="en-US"/>
              </w:rPr>
              <w:t>the health</w:t>
            </w:r>
            <w:proofErr w:type="gramEnd"/>
            <w:r w:rsidRPr="00526799">
              <w:rPr>
                <w:rFonts w:eastAsia="Calibri" w:cs="Arial"/>
                <w:szCs w:val="20"/>
                <w:lang w:val="en-US"/>
              </w:rPr>
              <w:t>, safety and convenience of the community; and</w:t>
            </w:r>
          </w:p>
          <w:p w14:paraId="2E58115D" w14:textId="77777777" w:rsidR="00526799" w:rsidRPr="00526799" w:rsidRDefault="00526799" w:rsidP="007F60B8">
            <w:pPr>
              <w:numPr>
                <w:ilvl w:val="0"/>
                <w:numId w:val="1"/>
              </w:numPr>
              <w:ind w:right="113"/>
              <w:jc w:val="both"/>
              <w:rPr>
                <w:rFonts w:eastAsia="Calibri" w:cs="Arial"/>
                <w:b/>
                <w:szCs w:val="20"/>
                <w:lang w:val="en-US"/>
              </w:rPr>
            </w:pPr>
            <w:proofErr w:type="spellStart"/>
            <w:r w:rsidRPr="00526799">
              <w:rPr>
                <w:rFonts w:eastAsia="Calibri" w:cs="Arial"/>
                <w:szCs w:val="20"/>
                <w:lang w:val="en-US"/>
              </w:rPr>
              <w:t>minimises</w:t>
            </w:r>
            <w:proofErr w:type="spellEnd"/>
            <w:r w:rsidRPr="00526799">
              <w:rPr>
                <w:rFonts w:eastAsia="Calibri" w:cs="Arial"/>
                <w:szCs w:val="20"/>
                <w:lang w:val="en-US"/>
              </w:rPr>
              <w:t xml:space="preserve"> adverse impacts on the receiving environment.</w:t>
            </w:r>
          </w:p>
        </w:tc>
        <w:tc>
          <w:tcPr>
            <w:tcW w:w="4677" w:type="dxa"/>
          </w:tcPr>
          <w:p w14:paraId="039EDAE8"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Where within an Urban Zone or Rural Residential Zone (Rural Residential 4000 Precinct, Rural Residential 8000 Precinct) AO1.1</w:t>
            </w:r>
          </w:p>
          <w:p w14:paraId="004099A7"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Water supply reticulation is designed and constructed in accordance with </w:t>
            </w:r>
            <w:r w:rsidRPr="00526799">
              <w:rPr>
                <w:rFonts w:eastAsia="Calibri" w:cs="Arial"/>
                <w:b/>
                <w:szCs w:val="20"/>
                <w:lang w:val="en-US"/>
              </w:rPr>
              <w:t>SC6.2 – Planning Scheme Policy 1 – Design and Construction Standards</w:t>
            </w:r>
            <w:r w:rsidRPr="00526799">
              <w:rPr>
                <w:rFonts w:eastAsia="Calibri" w:cs="Arial"/>
                <w:szCs w:val="20"/>
                <w:lang w:val="en-US"/>
              </w:rPr>
              <w:t>.</w:t>
            </w:r>
          </w:p>
          <w:p w14:paraId="495344F4" w14:textId="77777777" w:rsidR="00526799" w:rsidRPr="00526799" w:rsidRDefault="00526799" w:rsidP="007F60B8">
            <w:pPr>
              <w:ind w:left="113" w:right="113"/>
              <w:jc w:val="both"/>
              <w:rPr>
                <w:rFonts w:eastAsia="Calibri" w:cs="Arial"/>
                <w:b/>
                <w:szCs w:val="20"/>
                <w:lang w:val="en-US"/>
              </w:rPr>
            </w:pPr>
          </w:p>
          <w:p w14:paraId="1A8921B5"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Where within the Rural Zone or Rural Residential Zone (Rural Residential 20000 Precinct)</w:t>
            </w:r>
          </w:p>
          <w:p w14:paraId="19DECF2F"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AO1.2</w:t>
            </w:r>
          </w:p>
          <w:p w14:paraId="13BEFAEB" w14:textId="77777777" w:rsidR="00526799" w:rsidRPr="00526799" w:rsidRDefault="00526799" w:rsidP="007F60B8">
            <w:pPr>
              <w:ind w:left="113" w:right="113"/>
              <w:jc w:val="both"/>
              <w:rPr>
                <w:rFonts w:eastAsia="Calibri" w:cs="Arial"/>
                <w:b/>
                <w:szCs w:val="20"/>
                <w:lang w:val="en-US"/>
              </w:rPr>
            </w:pPr>
            <w:r w:rsidRPr="00526799">
              <w:rPr>
                <w:rFonts w:eastAsia="Calibri" w:cs="Arial"/>
                <w:szCs w:val="20"/>
                <w:lang w:val="en-US"/>
              </w:rPr>
              <w:t xml:space="preserve">A safe and adequate on-site water supply is designed and constructed in accordance with </w:t>
            </w:r>
            <w:r w:rsidRPr="00526799">
              <w:rPr>
                <w:rFonts w:eastAsia="Calibri" w:cs="Arial"/>
                <w:b/>
                <w:szCs w:val="20"/>
                <w:lang w:val="en-US"/>
              </w:rPr>
              <w:t>SC6.2 – Planning Scheme Policy 1 – Design and Construction Standards</w:t>
            </w:r>
            <w:r w:rsidRPr="00526799">
              <w:rPr>
                <w:rFonts w:eastAsia="Calibri" w:cs="Arial"/>
                <w:szCs w:val="20"/>
                <w:lang w:val="en-US"/>
              </w:rPr>
              <w:t>.</w:t>
            </w:r>
          </w:p>
        </w:tc>
        <w:tc>
          <w:tcPr>
            <w:tcW w:w="6804" w:type="dxa"/>
          </w:tcPr>
          <w:p w14:paraId="2C78E41C" w14:textId="77777777" w:rsidR="00526799" w:rsidRPr="00526799" w:rsidRDefault="00526799" w:rsidP="00526799">
            <w:pPr>
              <w:ind w:left="113" w:right="113"/>
              <w:rPr>
                <w:rFonts w:eastAsia="Calibri" w:cs="Arial"/>
                <w:b/>
                <w:szCs w:val="20"/>
                <w:lang w:val="en-US"/>
              </w:rPr>
            </w:pPr>
          </w:p>
        </w:tc>
      </w:tr>
      <w:tr w:rsidR="00526799" w:rsidRPr="00526799" w14:paraId="3BB9CF30" w14:textId="042FD038"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20AA01EA"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PO2</w:t>
            </w:r>
          </w:p>
          <w:p w14:paraId="351844B3"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Premises provide for the treatment and disposal of effluent and other </w:t>
            </w:r>
            <w:proofErr w:type="gramStart"/>
            <w:r w:rsidRPr="00526799">
              <w:rPr>
                <w:rFonts w:eastAsia="Calibri" w:cs="Arial"/>
                <w:szCs w:val="20"/>
                <w:lang w:val="en-US"/>
              </w:rPr>
              <w:t>waste water</w:t>
            </w:r>
            <w:proofErr w:type="gramEnd"/>
            <w:r w:rsidRPr="00526799">
              <w:rPr>
                <w:rFonts w:eastAsia="Calibri" w:cs="Arial"/>
                <w:szCs w:val="20"/>
                <w:lang w:val="en-US"/>
              </w:rPr>
              <w:t xml:space="preserve"> that:</w:t>
            </w:r>
          </w:p>
          <w:p w14:paraId="7F1066EF" w14:textId="77777777" w:rsidR="00526799" w:rsidRPr="00526799" w:rsidRDefault="00526799" w:rsidP="007F60B8">
            <w:pPr>
              <w:numPr>
                <w:ilvl w:val="0"/>
                <w:numId w:val="2"/>
              </w:numPr>
              <w:tabs>
                <w:tab w:val="left" w:pos="667"/>
              </w:tabs>
              <w:ind w:right="113"/>
              <w:jc w:val="both"/>
              <w:rPr>
                <w:rFonts w:eastAsia="Calibri" w:cs="Arial"/>
                <w:szCs w:val="20"/>
                <w:lang w:val="en-US"/>
              </w:rPr>
            </w:pPr>
            <w:r w:rsidRPr="00526799">
              <w:rPr>
                <w:rFonts w:eastAsia="Calibri" w:cs="Arial"/>
                <w:szCs w:val="20"/>
                <w:lang w:val="en-US"/>
              </w:rPr>
              <w:t xml:space="preserve">meets the needs of </w:t>
            </w:r>
            <w:proofErr w:type="gramStart"/>
            <w:r w:rsidRPr="00526799">
              <w:rPr>
                <w:rFonts w:eastAsia="Calibri" w:cs="Arial"/>
                <w:szCs w:val="20"/>
                <w:lang w:val="en-US"/>
              </w:rPr>
              <w:t>users;</w:t>
            </w:r>
            <w:proofErr w:type="gramEnd"/>
          </w:p>
          <w:p w14:paraId="3349CBD9" w14:textId="77777777" w:rsidR="00526799" w:rsidRPr="00526799" w:rsidRDefault="00526799" w:rsidP="007F60B8">
            <w:pPr>
              <w:numPr>
                <w:ilvl w:val="0"/>
                <w:numId w:val="2"/>
              </w:numPr>
              <w:tabs>
                <w:tab w:val="left" w:pos="667"/>
              </w:tabs>
              <w:ind w:right="113"/>
              <w:jc w:val="both"/>
              <w:rPr>
                <w:rFonts w:eastAsia="Calibri" w:cs="Arial"/>
                <w:szCs w:val="20"/>
                <w:lang w:val="en-US"/>
              </w:rPr>
            </w:pPr>
            <w:r w:rsidRPr="00526799">
              <w:rPr>
                <w:rFonts w:eastAsia="Calibri" w:cs="Arial"/>
                <w:szCs w:val="20"/>
                <w:lang w:val="en-US"/>
              </w:rPr>
              <w:t xml:space="preserve">ensures </w:t>
            </w:r>
            <w:proofErr w:type="gramStart"/>
            <w:r w:rsidRPr="00526799">
              <w:rPr>
                <w:rFonts w:eastAsia="Calibri" w:cs="Arial"/>
                <w:szCs w:val="20"/>
                <w:lang w:val="en-US"/>
              </w:rPr>
              <w:t>the health</w:t>
            </w:r>
            <w:proofErr w:type="gramEnd"/>
            <w:r w:rsidRPr="00526799">
              <w:rPr>
                <w:rFonts w:eastAsia="Calibri" w:cs="Arial"/>
                <w:szCs w:val="20"/>
                <w:lang w:val="en-US"/>
              </w:rPr>
              <w:t>, safety and convenience of the community; and</w:t>
            </w:r>
          </w:p>
          <w:p w14:paraId="311E0266" w14:textId="77777777" w:rsidR="00526799" w:rsidRPr="00526799" w:rsidRDefault="00526799" w:rsidP="007F60B8">
            <w:pPr>
              <w:numPr>
                <w:ilvl w:val="0"/>
                <w:numId w:val="2"/>
              </w:numPr>
              <w:tabs>
                <w:tab w:val="left" w:pos="667"/>
              </w:tabs>
              <w:ind w:right="113"/>
              <w:jc w:val="both"/>
              <w:rPr>
                <w:rFonts w:eastAsia="Calibri" w:cs="Arial"/>
                <w:szCs w:val="20"/>
                <w:lang w:val="en-US"/>
              </w:rPr>
            </w:pPr>
            <w:proofErr w:type="spellStart"/>
            <w:r w:rsidRPr="00526799">
              <w:rPr>
                <w:rFonts w:eastAsia="Calibri" w:cs="Arial"/>
                <w:szCs w:val="20"/>
                <w:lang w:val="en-US"/>
              </w:rPr>
              <w:t>minimises</w:t>
            </w:r>
            <w:proofErr w:type="spellEnd"/>
            <w:r w:rsidRPr="00526799">
              <w:rPr>
                <w:rFonts w:eastAsia="Calibri" w:cs="Arial"/>
                <w:szCs w:val="20"/>
                <w:lang w:val="en-US"/>
              </w:rPr>
              <w:t xml:space="preserve"> adverse impacts on the receiving environment.</w:t>
            </w:r>
          </w:p>
        </w:tc>
        <w:tc>
          <w:tcPr>
            <w:tcW w:w="4677" w:type="dxa"/>
          </w:tcPr>
          <w:p w14:paraId="674ED03B"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Where within an Urban Zone</w:t>
            </w:r>
          </w:p>
          <w:p w14:paraId="559744B8"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AO2.1</w:t>
            </w:r>
          </w:p>
          <w:p w14:paraId="27342628"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Sewerage reticulation is designed and constructed in accordance with </w:t>
            </w:r>
            <w:r w:rsidRPr="00526799">
              <w:rPr>
                <w:rFonts w:eastAsia="Calibri" w:cs="Arial"/>
                <w:b/>
                <w:szCs w:val="20"/>
                <w:lang w:val="en-US"/>
              </w:rPr>
              <w:t>SC6.2 – Planning Scheme Policy 1 – Design and Construction Standards</w:t>
            </w:r>
            <w:r w:rsidRPr="00526799">
              <w:rPr>
                <w:rFonts w:eastAsia="Calibri" w:cs="Arial"/>
                <w:szCs w:val="20"/>
                <w:lang w:val="en-US"/>
              </w:rPr>
              <w:t>.</w:t>
            </w:r>
          </w:p>
          <w:p w14:paraId="16A881CF" w14:textId="77777777" w:rsidR="00526799" w:rsidRPr="00526799" w:rsidRDefault="00526799" w:rsidP="007F60B8">
            <w:pPr>
              <w:ind w:left="113" w:right="113"/>
              <w:jc w:val="both"/>
              <w:rPr>
                <w:rFonts w:eastAsia="Calibri" w:cs="Arial"/>
                <w:b/>
                <w:szCs w:val="20"/>
                <w:lang w:val="en-US"/>
              </w:rPr>
            </w:pPr>
          </w:p>
          <w:p w14:paraId="59889B4B"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Where within the Rural Zone or Rural Residential Zone</w:t>
            </w:r>
          </w:p>
          <w:p w14:paraId="68BA75D1"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AO2.2</w:t>
            </w:r>
          </w:p>
          <w:p w14:paraId="5446D081"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lastRenderedPageBreak/>
              <w:t xml:space="preserve">A safe and efficient on-site </w:t>
            </w:r>
            <w:proofErr w:type="gramStart"/>
            <w:r w:rsidRPr="00526799">
              <w:rPr>
                <w:rFonts w:eastAsia="Calibri" w:cs="Arial"/>
                <w:szCs w:val="20"/>
                <w:lang w:val="en-US"/>
              </w:rPr>
              <w:t>waste water</w:t>
            </w:r>
            <w:proofErr w:type="gramEnd"/>
            <w:r w:rsidRPr="00526799">
              <w:rPr>
                <w:rFonts w:eastAsia="Calibri" w:cs="Arial"/>
                <w:szCs w:val="20"/>
                <w:lang w:val="en-US"/>
              </w:rPr>
              <w:t xml:space="preserve"> disposal system is designed and constructed in accordance with </w:t>
            </w:r>
            <w:r w:rsidRPr="00526799">
              <w:rPr>
                <w:rFonts w:eastAsia="Calibri" w:cs="Arial"/>
                <w:i/>
                <w:iCs/>
                <w:szCs w:val="20"/>
                <w:lang w:val="en-US"/>
              </w:rPr>
              <w:t>Queensland Plumbing and Wastewater Code</w:t>
            </w:r>
            <w:r w:rsidRPr="00526799">
              <w:rPr>
                <w:rFonts w:eastAsia="Calibri" w:cs="Arial"/>
                <w:szCs w:val="20"/>
                <w:lang w:val="en-US"/>
              </w:rPr>
              <w:t xml:space="preserve"> and Australian Standard </w:t>
            </w:r>
            <w:r w:rsidRPr="00526799">
              <w:rPr>
                <w:rFonts w:eastAsia="Calibri" w:cs="Arial"/>
                <w:i/>
                <w:iCs/>
                <w:szCs w:val="20"/>
                <w:lang w:val="en-US"/>
              </w:rPr>
              <w:t>AS/NZS3500—Plumbing and drainage.</w:t>
            </w:r>
          </w:p>
        </w:tc>
        <w:tc>
          <w:tcPr>
            <w:tcW w:w="6804" w:type="dxa"/>
          </w:tcPr>
          <w:p w14:paraId="3953A5CC" w14:textId="77777777" w:rsidR="00526799" w:rsidRPr="00526799" w:rsidRDefault="00526799" w:rsidP="00526799">
            <w:pPr>
              <w:ind w:left="113" w:right="113"/>
              <w:rPr>
                <w:rFonts w:eastAsia="Calibri" w:cs="Arial"/>
                <w:b/>
                <w:szCs w:val="20"/>
                <w:lang w:val="en-US"/>
              </w:rPr>
            </w:pPr>
          </w:p>
        </w:tc>
      </w:tr>
      <w:tr w:rsidR="008D2A89" w:rsidRPr="00526799" w14:paraId="6D452C25" w14:textId="20F51D3B" w:rsidTr="00442C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766F182D" w14:textId="5123A631" w:rsidR="008D2A89" w:rsidRPr="00526799" w:rsidRDefault="008D2A89" w:rsidP="00526799">
            <w:pPr>
              <w:ind w:left="113" w:right="113"/>
              <w:rPr>
                <w:rFonts w:eastAsia="Calibri" w:cs="Arial"/>
                <w:b/>
                <w:szCs w:val="20"/>
                <w:lang w:val="en-US"/>
              </w:rPr>
            </w:pPr>
            <w:r w:rsidRPr="00526799">
              <w:rPr>
                <w:rFonts w:eastAsia="Calibri" w:cs="Arial"/>
                <w:b/>
                <w:szCs w:val="20"/>
                <w:lang w:val="en-US"/>
              </w:rPr>
              <w:t>Works for Infrastructure (stormwater infrastructure)</w:t>
            </w:r>
          </w:p>
        </w:tc>
      </w:tr>
      <w:tr w:rsidR="00526799" w:rsidRPr="00526799" w14:paraId="417EF941" w14:textId="7EF26293"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11BB81BA"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PO3</w:t>
            </w:r>
          </w:p>
          <w:p w14:paraId="616C80D4"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Stormwater drainage is designed and managed to avoid adverse impacts on surrounding development or compromise the natural health and functioning of adjoining waterway systems.</w:t>
            </w:r>
          </w:p>
        </w:tc>
        <w:tc>
          <w:tcPr>
            <w:tcW w:w="4677" w:type="dxa"/>
          </w:tcPr>
          <w:p w14:paraId="1A973111"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AO3</w:t>
            </w:r>
          </w:p>
          <w:p w14:paraId="354209CE"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Stormwater infrastructure is designed and constructed in accordance with </w:t>
            </w:r>
            <w:r w:rsidRPr="00526799">
              <w:rPr>
                <w:rFonts w:eastAsia="Calibri" w:cs="Arial"/>
                <w:b/>
                <w:szCs w:val="20"/>
                <w:lang w:val="en-US"/>
              </w:rPr>
              <w:t>SC6.2 – Planning Scheme Policy 1 – Design and Construction Standards</w:t>
            </w:r>
            <w:r w:rsidRPr="00526799">
              <w:rPr>
                <w:rFonts w:eastAsia="Calibri" w:cs="Arial"/>
                <w:szCs w:val="20"/>
                <w:lang w:val="en-US"/>
              </w:rPr>
              <w:t>.</w:t>
            </w:r>
          </w:p>
        </w:tc>
        <w:tc>
          <w:tcPr>
            <w:tcW w:w="6804" w:type="dxa"/>
          </w:tcPr>
          <w:p w14:paraId="33BCACD8" w14:textId="77777777" w:rsidR="00526799" w:rsidRPr="00526799" w:rsidRDefault="00526799" w:rsidP="00526799">
            <w:pPr>
              <w:ind w:left="113" w:right="113"/>
              <w:rPr>
                <w:rFonts w:eastAsia="Calibri" w:cs="Arial"/>
                <w:b/>
                <w:szCs w:val="20"/>
                <w:lang w:val="en-US"/>
              </w:rPr>
            </w:pPr>
          </w:p>
        </w:tc>
      </w:tr>
      <w:tr w:rsidR="008D2A89" w:rsidRPr="00526799" w14:paraId="3EAB0B28" w14:textId="0ADBE3F0" w:rsidTr="003A1A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30C41CDE" w14:textId="07A86876" w:rsidR="008D2A89" w:rsidRPr="00526799" w:rsidRDefault="008D2A89" w:rsidP="00526799">
            <w:pPr>
              <w:ind w:left="113" w:right="113"/>
              <w:rPr>
                <w:rFonts w:eastAsia="Calibri" w:cs="Arial"/>
                <w:b/>
                <w:szCs w:val="20"/>
                <w:lang w:val="en-US"/>
              </w:rPr>
            </w:pPr>
            <w:r w:rsidRPr="00526799">
              <w:rPr>
                <w:rFonts w:eastAsia="Calibri" w:cs="Arial"/>
                <w:b/>
                <w:szCs w:val="20"/>
                <w:lang w:val="en-US"/>
              </w:rPr>
              <w:t>Works for Infrastructure (electricity supply)</w:t>
            </w:r>
          </w:p>
        </w:tc>
      </w:tr>
      <w:tr w:rsidR="00526799" w:rsidRPr="00526799" w14:paraId="28896515" w14:textId="6858A704"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42D7DC04"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PO4</w:t>
            </w:r>
          </w:p>
          <w:p w14:paraId="6E20612A"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Premises are provided with an adequate supply of electricity.</w:t>
            </w:r>
          </w:p>
        </w:tc>
        <w:tc>
          <w:tcPr>
            <w:tcW w:w="4677" w:type="dxa"/>
          </w:tcPr>
          <w:p w14:paraId="6B3C6EAF"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AO4</w:t>
            </w:r>
          </w:p>
          <w:p w14:paraId="086F151B"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Electricity supply is designed and constructed in accordance with the requirements of the service provider.</w:t>
            </w:r>
          </w:p>
        </w:tc>
        <w:tc>
          <w:tcPr>
            <w:tcW w:w="6804" w:type="dxa"/>
          </w:tcPr>
          <w:p w14:paraId="2C0C38BE" w14:textId="77777777" w:rsidR="00526799" w:rsidRPr="00526799" w:rsidRDefault="00526799" w:rsidP="00526799">
            <w:pPr>
              <w:ind w:left="113" w:right="113"/>
              <w:rPr>
                <w:rFonts w:eastAsia="Calibri" w:cs="Arial"/>
                <w:b/>
                <w:szCs w:val="20"/>
                <w:lang w:val="en-US"/>
              </w:rPr>
            </w:pPr>
          </w:p>
        </w:tc>
      </w:tr>
      <w:tr w:rsidR="00526799" w:rsidRPr="00526799" w14:paraId="2B56D579" w14:textId="322002CB"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39F799EA"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PO5</w:t>
            </w:r>
          </w:p>
          <w:p w14:paraId="6AD88431"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Development within a major electricity infrastructure buffer shown on </w:t>
            </w:r>
            <w:r w:rsidRPr="00526799">
              <w:rPr>
                <w:rFonts w:eastAsia="Calibri" w:cs="Arial"/>
                <w:b/>
                <w:szCs w:val="20"/>
                <w:lang w:val="en-US"/>
              </w:rPr>
              <w:t>Infrastructure overlay maps (OM-006)</w:t>
            </w:r>
            <w:r w:rsidRPr="00526799">
              <w:rPr>
                <w:rFonts w:eastAsia="Calibri" w:cs="Arial"/>
                <w:szCs w:val="20"/>
                <w:lang w:val="en-US"/>
              </w:rPr>
              <w:t>:</w:t>
            </w:r>
          </w:p>
          <w:p w14:paraId="0F543202" w14:textId="77777777" w:rsidR="00526799" w:rsidRPr="00526799" w:rsidRDefault="00526799" w:rsidP="007F60B8">
            <w:pPr>
              <w:numPr>
                <w:ilvl w:val="0"/>
                <w:numId w:val="3"/>
              </w:numPr>
              <w:tabs>
                <w:tab w:val="left" w:pos="535"/>
              </w:tabs>
              <w:ind w:right="113"/>
              <w:jc w:val="both"/>
              <w:rPr>
                <w:rFonts w:eastAsia="Calibri" w:cs="Arial"/>
                <w:szCs w:val="20"/>
                <w:lang w:val="en-US"/>
              </w:rPr>
            </w:pPr>
            <w:r w:rsidRPr="00526799">
              <w:rPr>
                <w:rFonts w:eastAsia="Calibri" w:cs="Arial"/>
                <w:szCs w:val="20"/>
                <w:lang w:val="en-US"/>
              </w:rPr>
              <w:t>is located and designed in a manner that maintains a high level of security of supply; and</w:t>
            </w:r>
          </w:p>
          <w:p w14:paraId="2C0F20EA" w14:textId="77777777" w:rsidR="00526799" w:rsidRPr="00526799" w:rsidRDefault="00526799" w:rsidP="007F60B8">
            <w:pPr>
              <w:numPr>
                <w:ilvl w:val="0"/>
                <w:numId w:val="3"/>
              </w:numPr>
              <w:tabs>
                <w:tab w:val="left" w:pos="535"/>
              </w:tabs>
              <w:ind w:right="113"/>
              <w:jc w:val="both"/>
              <w:rPr>
                <w:rFonts w:eastAsia="Calibri" w:cs="Arial"/>
                <w:szCs w:val="20"/>
                <w:lang w:val="en-US"/>
              </w:rPr>
            </w:pPr>
            <w:r w:rsidRPr="00526799">
              <w:rPr>
                <w:rFonts w:eastAsia="Calibri" w:cs="Arial"/>
                <w:szCs w:val="20"/>
                <w:lang w:val="en-US"/>
              </w:rPr>
              <w:t>is located and designed so as not to impede upon the functioning and maintenance of major electricity infrastructure.</w:t>
            </w:r>
          </w:p>
        </w:tc>
        <w:tc>
          <w:tcPr>
            <w:tcW w:w="4677" w:type="dxa"/>
          </w:tcPr>
          <w:p w14:paraId="5B6E6E99"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AO5</w:t>
            </w:r>
          </w:p>
          <w:p w14:paraId="3695C943"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Development does not involve </w:t>
            </w:r>
            <w:proofErr w:type="gramStart"/>
            <w:r w:rsidRPr="00526799">
              <w:rPr>
                <w:rFonts w:eastAsia="Calibri" w:cs="Arial"/>
                <w:szCs w:val="20"/>
                <w:lang w:val="en-US"/>
              </w:rPr>
              <w:t>works</w:t>
            </w:r>
            <w:proofErr w:type="gramEnd"/>
            <w:r w:rsidRPr="00526799">
              <w:rPr>
                <w:rFonts w:eastAsia="Calibri" w:cs="Arial"/>
                <w:szCs w:val="20"/>
                <w:lang w:val="en-US"/>
              </w:rPr>
              <w:t xml:space="preserve"> within a major electricity infrastructure buffer.</w:t>
            </w:r>
          </w:p>
        </w:tc>
        <w:tc>
          <w:tcPr>
            <w:tcW w:w="6804" w:type="dxa"/>
          </w:tcPr>
          <w:p w14:paraId="1117F001" w14:textId="77777777" w:rsidR="00526799" w:rsidRPr="00526799" w:rsidRDefault="00526799" w:rsidP="00526799">
            <w:pPr>
              <w:ind w:left="113" w:right="113"/>
              <w:rPr>
                <w:rFonts w:eastAsia="Calibri" w:cs="Arial"/>
                <w:b/>
                <w:szCs w:val="20"/>
                <w:lang w:val="en-US"/>
              </w:rPr>
            </w:pPr>
          </w:p>
        </w:tc>
      </w:tr>
      <w:tr w:rsidR="00526799" w:rsidRPr="00526799" w14:paraId="5F59C51D" w14:textId="6DF33F5A"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3D485D65"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PO6</w:t>
            </w:r>
          </w:p>
          <w:p w14:paraId="1C33CEC0"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Earthworks are designed to ensure access to major electricity infrastructure </w:t>
            </w:r>
            <w:r w:rsidRPr="00526799">
              <w:rPr>
                <w:rFonts w:eastAsia="Calibri" w:cs="Arial"/>
                <w:szCs w:val="20"/>
                <w:lang w:val="en-US"/>
              </w:rPr>
              <w:lastRenderedPageBreak/>
              <w:t xml:space="preserve">and substations shown on </w:t>
            </w:r>
            <w:r w:rsidRPr="00526799">
              <w:rPr>
                <w:rFonts w:eastAsia="Calibri" w:cs="Arial"/>
                <w:b/>
                <w:szCs w:val="20"/>
                <w:lang w:val="en-US"/>
              </w:rPr>
              <w:t xml:space="preserve">Infrastructure overlay maps (OM-006) </w:t>
            </w:r>
            <w:r w:rsidRPr="00526799">
              <w:rPr>
                <w:rFonts w:eastAsia="Calibri" w:cs="Arial"/>
                <w:szCs w:val="20"/>
                <w:lang w:val="en-US"/>
              </w:rPr>
              <w:t>are maintained.</w:t>
            </w:r>
          </w:p>
        </w:tc>
        <w:tc>
          <w:tcPr>
            <w:tcW w:w="4677" w:type="dxa"/>
          </w:tcPr>
          <w:p w14:paraId="0A8F542D"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lastRenderedPageBreak/>
              <w:t>AO6</w:t>
            </w:r>
          </w:p>
          <w:p w14:paraId="379CED35"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Earthworks do not restrict access to substations or to and along major electricity infrastructure by</w:t>
            </w:r>
          </w:p>
          <w:p w14:paraId="1A44E033"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lastRenderedPageBreak/>
              <w:t xml:space="preserve">utility providers </w:t>
            </w:r>
            <w:proofErr w:type="gramStart"/>
            <w:r w:rsidRPr="00526799">
              <w:rPr>
                <w:rFonts w:eastAsia="Calibri" w:cs="Arial"/>
                <w:szCs w:val="20"/>
                <w:lang w:val="en-US"/>
              </w:rPr>
              <w:t>using</w:t>
            </w:r>
            <w:proofErr w:type="gramEnd"/>
            <w:r w:rsidRPr="00526799">
              <w:rPr>
                <w:rFonts w:eastAsia="Calibri" w:cs="Arial"/>
                <w:szCs w:val="20"/>
                <w:lang w:val="en-US"/>
              </w:rPr>
              <w:t xml:space="preserve"> their normal vehicles and equipment.</w:t>
            </w:r>
          </w:p>
        </w:tc>
        <w:tc>
          <w:tcPr>
            <w:tcW w:w="6804" w:type="dxa"/>
          </w:tcPr>
          <w:p w14:paraId="27D25569" w14:textId="77777777" w:rsidR="00526799" w:rsidRPr="00526799" w:rsidRDefault="00526799" w:rsidP="00526799">
            <w:pPr>
              <w:ind w:left="113" w:right="113"/>
              <w:rPr>
                <w:rFonts w:eastAsia="Calibri" w:cs="Arial"/>
                <w:b/>
                <w:szCs w:val="20"/>
                <w:lang w:val="en-US"/>
              </w:rPr>
            </w:pPr>
          </w:p>
        </w:tc>
      </w:tr>
      <w:tr w:rsidR="008D2A89" w:rsidRPr="00526799" w14:paraId="20002587" w14:textId="6B515898" w:rsidTr="007A06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2AC0AC04" w14:textId="221E4AC0" w:rsidR="008D2A89" w:rsidRPr="00526799" w:rsidRDefault="008D2A89" w:rsidP="00526799">
            <w:pPr>
              <w:ind w:left="113" w:right="113"/>
              <w:rPr>
                <w:rFonts w:eastAsia="Calibri" w:cs="Arial"/>
                <w:b/>
                <w:szCs w:val="20"/>
                <w:lang w:val="en-US"/>
              </w:rPr>
            </w:pPr>
            <w:r w:rsidRPr="00526799">
              <w:rPr>
                <w:rFonts w:eastAsia="Calibri" w:cs="Arial"/>
                <w:b/>
                <w:szCs w:val="20"/>
                <w:lang w:val="en-US"/>
              </w:rPr>
              <w:t>Works for Infrastructure (telecommunications infrastructure)</w:t>
            </w:r>
          </w:p>
        </w:tc>
      </w:tr>
      <w:tr w:rsidR="00526799" w:rsidRPr="00526799" w14:paraId="554BCA08" w14:textId="414C3431"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40AC6F1B"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PO7</w:t>
            </w:r>
          </w:p>
          <w:p w14:paraId="322F2817"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Premises are provided with an adequate supply of telecommunications infrastructure.</w:t>
            </w:r>
          </w:p>
        </w:tc>
        <w:tc>
          <w:tcPr>
            <w:tcW w:w="4677" w:type="dxa"/>
          </w:tcPr>
          <w:p w14:paraId="5621C68E"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AO7</w:t>
            </w:r>
          </w:p>
          <w:p w14:paraId="68CB2B5F"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Telecommunications services are designed and constructed in accordance with the requirements of the service provider.</w:t>
            </w:r>
          </w:p>
        </w:tc>
        <w:tc>
          <w:tcPr>
            <w:tcW w:w="6804" w:type="dxa"/>
          </w:tcPr>
          <w:p w14:paraId="237B254D" w14:textId="77777777" w:rsidR="00526799" w:rsidRPr="00526799" w:rsidRDefault="00526799" w:rsidP="00526799">
            <w:pPr>
              <w:ind w:left="113" w:right="113"/>
              <w:rPr>
                <w:rFonts w:eastAsia="Calibri" w:cs="Arial"/>
                <w:b/>
                <w:szCs w:val="20"/>
                <w:lang w:val="en-US"/>
              </w:rPr>
            </w:pPr>
          </w:p>
        </w:tc>
      </w:tr>
      <w:tr w:rsidR="007925D7" w:rsidRPr="00526799" w14:paraId="27398C5D" w14:textId="67F6422E" w:rsidTr="006136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6D55C9C8" w14:textId="42A276EA" w:rsidR="007925D7" w:rsidRPr="00526799" w:rsidRDefault="007925D7" w:rsidP="00526799">
            <w:pPr>
              <w:ind w:left="113" w:right="113"/>
              <w:rPr>
                <w:rFonts w:eastAsia="Calibri" w:cs="Arial"/>
                <w:b/>
                <w:szCs w:val="20"/>
                <w:lang w:val="en-US"/>
              </w:rPr>
            </w:pPr>
            <w:r w:rsidRPr="00526799">
              <w:rPr>
                <w:rFonts w:eastAsia="Calibri" w:cs="Arial"/>
                <w:b/>
                <w:szCs w:val="20"/>
                <w:lang w:val="en-US"/>
              </w:rPr>
              <w:t>Works for Infrastructure (gates and grids)</w:t>
            </w:r>
          </w:p>
        </w:tc>
      </w:tr>
      <w:tr w:rsidR="00526799" w:rsidRPr="00526799" w14:paraId="4919C4D6" w14:textId="1FCF0CFE"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65CA8E52"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PO8</w:t>
            </w:r>
          </w:p>
          <w:p w14:paraId="26C2C505"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The installation of gates and grids across public roads is undertaken to ensure that they do not interfere with:</w:t>
            </w:r>
          </w:p>
          <w:p w14:paraId="190D1381" w14:textId="77777777" w:rsidR="00526799" w:rsidRPr="00526799" w:rsidRDefault="00526799" w:rsidP="007F60B8">
            <w:pPr>
              <w:numPr>
                <w:ilvl w:val="0"/>
                <w:numId w:val="4"/>
              </w:numPr>
              <w:ind w:right="113"/>
              <w:jc w:val="both"/>
              <w:rPr>
                <w:rFonts w:eastAsia="Calibri" w:cs="Arial"/>
                <w:szCs w:val="20"/>
                <w:lang w:val="en-US"/>
              </w:rPr>
            </w:pPr>
            <w:r w:rsidRPr="00526799">
              <w:rPr>
                <w:rFonts w:eastAsia="Calibri" w:cs="Arial"/>
                <w:szCs w:val="20"/>
                <w:lang w:val="en-US"/>
              </w:rPr>
              <w:t>the safe movement of pedestrians and vehicles; or</w:t>
            </w:r>
          </w:p>
          <w:p w14:paraId="25B208AB" w14:textId="77777777" w:rsidR="00526799" w:rsidRPr="00526799" w:rsidRDefault="00526799" w:rsidP="007F60B8">
            <w:pPr>
              <w:numPr>
                <w:ilvl w:val="0"/>
                <w:numId w:val="4"/>
              </w:numPr>
              <w:ind w:right="113"/>
              <w:jc w:val="both"/>
              <w:rPr>
                <w:rFonts w:eastAsia="Calibri" w:cs="Arial"/>
                <w:szCs w:val="20"/>
                <w:lang w:val="en-US"/>
              </w:rPr>
            </w:pPr>
            <w:r w:rsidRPr="00526799">
              <w:rPr>
                <w:rFonts w:eastAsia="Calibri" w:cs="Arial"/>
                <w:szCs w:val="20"/>
                <w:lang w:val="en-US"/>
              </w:rPr>
              <w:t>the proper maintenance of the public road.</w:t>
            </w:r>
          </w:p>
        </w:tc>
        <w:tc>
          <w:tcPr>
            <w:tcW w:w="4677" w:type="dxa"/>
          </w:tcPr>
          <w:p w14:paraId="3A034291"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AO8</w:t>
            </w:r>
          </w:p>
          <w:p w14:paraId="2A1D823A"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Gates and grids across public roads are designed and constructed in accordance with </w:t>
            </w:r>
            <w:r w:rsidRPr="00526799">
              <w:rPr>
                <w:rFonts w:eastAsia="Calibri" w:cs="Arial"/>
                <w:b/>
                <w:szCs w:val="20"/>
                <w:lang w:val="en-US"/>
              </w:rPr>
              <w:t>SC6.2 – Planning Scheme Policy 1 – Design and Construction Standards</w:t>
            </w:r>
            <w:r w:rsidRPr="00526799">
              <w:rPr>
                <w:rFonts w:eastAsia="Calibri" w:cs="Arial"/>
                <w:szCs w:val="20"/>
                <w:lang w:val="en-US"/>
              </w:rPr>
              <w:t>.</w:t>
            </w:r>
          </w:p>
        </w:tc>
        <w:tc>
          <w:tcPr>
            <w:tcW w:w="6804" w:type="dxa"/>
          </w:tcPr>
          <w:p w14:paraId="653233D4" w14:textId="77777777" w:rsidR="00526799" w:rsidRPr="00526799" w:rsidRDefault="00526799" w:rsidP="00526799">
            <w:pPr>
              <w:ind w:left="113" w:right="113"/>
              <w:rPr>
                <w:rFonts w:eastAsia="Calibri" w:cs="Arial"/>
                <w:b/>
                <w:szCs w:val="20"/>
                <w:lang w:val="en-US"/>
              </w:rPr>
            </w:pPr>
          </w:p>
        </w:tc>
      </w:tr>
      <w:tr w:rsidR="007925D7" w:rsidRPr="00526799" w14:paraId="4A00C2ED" w14:textId="1819D0B2" w:rsidTr="00FA59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3167F157" w14:textId="1C644450" w:rsidR="007925D7" w:rsidRPr="00526799" w:rsidRDefault="007925D7" w:rsidP="00526799">
            <w:pPr>
              <w:ind w:left="113" w:right="113"/>
              <w:rPr>
                <w:rFonts w:eastAsia="Calibri" w:cs="Arial"/>
                <w:b/>
                <w:szCs w:val="20"/>
                <w:lang w:val="en-US"/>
              </w:rPr>
            </w:pPr>
            <w:r w:rsidRPr="00526799">
              <w:rPr>
                <w:rFonts w:eastAsia="Calibri" w:cs="Arial"/>
                <w:b/>
                <w:szCs w:val="20"/>
                <w:lang w:val="en-US"/>
              </w:rPr>
              <w:t>Excavation or Filling</w:t>
            </w:r>
          </w:p>
        </w:tc>
      </w:tr>
      <w:tr w:rsidR="00526799" w:rsidRPr="00526799" w14:paraId="139CE57F" w14:textId="53420F9F"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1A42CBF3" w14:textId="77777777" w:rsidR="00526799" w:rsidRPr="00526799" w:rsidRDefault="00526799" w:rsidP="007F60B8">
            <w:pPr>
              <w:ind w:left="113" w:right="113"/>
              <w:jc w:val="both"/>
              <w:rPr>
                <w:rFonts w:eastAsia="Calibri" w:cs="Arial"/>
                <w:b/>
                <w:bCs/>
                <w:szCs w:val="20"/>
                <w:lang w:val="en-US"/>
              </w:rPr>
            </w:pPr>
            <w:r w:rsidRPr="00526799">
              <w:rPr>
                <w:rFonts w:eastAsia="Calibri" w:cs="Arial"/>
                <w:b/>
                <w:bCs/>
                <w:szCs w:val="20"/>
                <w:lang w:val="en-US"/>
              </w:rPr>
              <w:t>PO9</w:t>
            </w:r>
          </w:p>
          <w:p w14:paraId="0F96F88E"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Filling and/or excavation does not:</w:t>
            </w:r>
          </w:p>
          <w:p w14:paraId="2DCA19CF" w14:textId="77777777" w:rsidR="00526799" w:rsidRPr="00526799" w:rsidRDefault="00526799" w:rsidP="007F60B8">
            <w:pPr>
              <w:numPr>
                <w:ilvl w:val="0"/>
                <w:numId w:val="5"/>
              </w:numPr>
              <w:tabs>
                <w:tab w:val="left" w:pos="569"/>
              </w:tabs>
              <w:ind w:right="113"/>
              <w:jc w:val="both"/>
              <w:rPr>
                <w:rFonts w:eastAsia="Calibri" w:cs="Arial"/>
                <w:szCs w:val="20"/>
                <w:lang w:val="en-US"/>
              </w:rPr>
            </w:pPr>
            <w:r w:rsidRPr="00526799">
              <w:rPr>
                <w:rFonts w:eastAsia="Calibri" w:cs="Arial"/>
                <w:szCs w:val="20"/>
                <w:lang w:val="en-US"/>
              </w:rPr>
              <w:t xml:space="preserve">negatively impact the character and amenity of </w:t>
            </w:r>
            <w:proofErr w:type="spellStart"/>
            <w:proofErr w:type="gramStart"/>
            <w:r w:rsidRPr="00526799">
              <w:rPr>
                <w:rFonts w:eastAsia="Calibri" w:cs="Arial"/>
                <w:szCs w:val="20"/>
                <w:lang w:val="en-US"/>
              </w:rPr>
              <w:t>neighbourhoods</w:t>
            </w:r>
            <w:proofErr w:type="spellEnd"/>
            <w:r w:rsidRPr="00526799">
              <w:rPr>
                <w:rFonts w:eastAsia="Calibri" w:cs="Arial"/>
                <w:szCs w:val="20"/>
                <w:lang w:val="en-US"/>
              </w:rPr>
              <w:t>;</w:t>
            </w:r>
            <w:proofErr w:type="gramEnd"/>
          </w:p>
          <w:p w14:paraId="3D4CD2D8" w14:textId="77777777" w:rsidR="00526799" w:rsidRPr="00526799" w:rsidRDefault="00526799" w:rsidP="007F60B8">
            <w:pPr>
              <w:numPr>
                <w:ilvl w:val="0"/>
                <w:numId w:val="5"/>
              </w:numPr>
              <w:tabs>
                <w:tab w:val="left" w:pos="569"/>
              </w:tabs>
              <w:ind w:right="113"/>
              <w:jc w:val="both"/>
              <w:rPr>
                <w:rFonts w:eastAsia="Calibri" w:cs="Arial"/>
                <w:szCs w:val="20"/>
                <w:lang w:val="en-US"/>
              </w:rPr>
            </w:pPr>
            <w:r w:rsidRPr="00526799">
              <w:rPr>
                <w:rFonts w:eastAsia="Calibri" w:cs="Arial"/>
                <w:szCs w:val="20"/>
                <w:lang w:val="en-US"/>
              </w:rPr>
              <w:t xml:space="preserve">increase flood or drainage impacts on neighbouring </w:t>
            </w:r>
            <w:proofErr w:type="gramStart"/>
            <w:r w:rsidRPr="00526799">
              <w:rPr>
                <w:rFonts w:eastAsia="Calibri" w:cs="Arial"/>
                <w:szCs w:val="20"/>
                <w:lang w:val="en-US"/>
              </w:rPr>
              <w:t>properties;</w:t>
            </w:r>
            <w:proofErr w:type="gramEnd"/>
          </w:p>
          <w:p w14:paraId="47418E99" w14:textId="77777777" w:rsidR="00526799" w:rsidRPr="00526799" w:rsidRDefault="00526799" w:rsidP="007F60B8">
            <w:pPr>
              <w:numPr>
                <w:ilvl w:val="0"/>
                <w:numId w:val="5"/>
              </w:numPr>
              <w:tabs>
                <w:tab w:val="left" w:pos="569"/>
              </w:tabs>
              <w:ind w:right="113"/>
              <w:jc w:val="both"/>
              <w:rPr>
                <w:rFonts w:eastAsia="Calibri" w:cs="Arial"/>
                <w:szCs w:val="20"/>
                <w:lang w:val="en-US"/>
              </w:rPr>
            </w:pPr>
            <w:r w:rsidRPr="00526799">
              <w:rPr>
                <w:rFonts w:eastAsia="Calibri" w:cs="Arial"/>
                <w:szCs w:val="20"/>
                <w:lang w:val="en-US"/>
              </w:rPr>
              <w:t>cause pollution or contamination of nearby land or watercourses.</w:t>
            </w:r>
          </w:p>
        </w:tc>
        <w:tc>
          <w:tcPr>
            <w:tcW w:w="4677" w:type="dxa"/>
          </w:tcPr>
          <w:p w14:paraId="39084D2A" w14:textId="77777777" w:rsidR="00526799" w:rsidRPr="00526799" w:rsidRDefault="00526799" w:rsidP="007F60B8">
            <w:pPr>
              <w:ind w:left="113" w:right="113"/>
              <w:jc w:val="both"/>
              <w:rPr>
                <w:rFonts w:eastAsia="Calibri" w:cs="Arial"/>
                <w:b/>
                <w:bCs/>
                <w:szCs w:val="20"/>
                <w:lang w:val="en-US"/>
              </w:rPr>
            </w:pPr>
            <w:r w:rsidRPr="00526799">
              <w:rPr>
                <w:rFonts w:eastAsia="Calibri" w:cs="Arial"/>
                <w:b/>
                <w:bCs/>
                <w:szCs w:val="20"/>
                <w:lang w:val="en-US"/>
              </w:rPr>
              <w:t>AO9.1</w:t>
            </w:r>
          </w:p>
          <w:p w14:paraId="0E8505F9"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Filling and/or excavation is undertaken in accordance with </w:t>
            </w:r>
            <w:r w:rsidRPr="00526799">
              <w:rPr>
                <w:rFonts w:eastAsia="Calibri" w:cs="Arial"/>
                <w:b/>
                <w:szCs w:val="20"/>
                <w:lang w:val="en-US"/>
              </w:rPr>
              <w:t>SC6.2 – Planning Scheme Policy 1 – Design and Construction Standards</w:t>
            </w:r>
            <w:r w:rsidRPr="00526799">
              <w:rPr>
                <w:rFonts w:eastAsia="Calibri" w:cs="Arial"/>
                <w:szCs w:val="20"/>
                <w:lang w:val="en-US"/>
              </w:rPr>
              <w:t>.</w:t>
            </w:r>
          </w:p>
          <w:p w14:paraId="2042E066" w14:textId="77777777" w:rsidR="00526799" w:rsidRPr="00526799" w:rsidRDefault="00526799" w:rsidP="007F60B8">
            <w:pPr>
              <w:ind w:left="113" w:right="113"/>
              <w:jc w:val="both"/>
              <w:rPr>
                <w:rFonts w:eastAsia="Calibri" w:cs="Arial"/>
                <w:b/>
                <w:szCs w:val="20"/>
                <w:lang w:val="en-US"/>
              </w:rPr>
            </w:pPr>
          </w:p>
          <w:p w14:paraId="40A772B6"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AO9.2</w:t>
            </w:r>
          </w:p>
          <w:p w14:paraId="72E878CB"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Retaining structures exceeding 1 metre in height are setback a minimum of half the height of the structure from any property boundary and the setback area is landscaped or screened to a minimum height of 1.2 metres.</w:t>
            </w:r>
          </w:p>
          <w:p w14:paraId="5B6F0B4A" w14:textId="77777777" w:rsidR="00526799" w:rsidRPr="00526799" w:rsidRDefault="00526799" w:rsidP="007F60B8">
            <w:pPr>
              <w:ind w:left="113" w:right="113"/>
              <w:jc w:val="both"/>
              <w:rPr>
                <w:rFonts w:eastAsia="Calibri" w:cs="Arial"/>
                <w:b/>
                <w:szCs w:val="20"/>
                <w:lang w:val="en-US"/>
              </w:rPr>
            </w:pPr>
          </w:p>
          <w:p w14:paraId="4E11065A"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lastRenderedPageBreak/>
              <w:t xml:space="preserve">Where in a Residential, Rural Residential 4000 Precinct, Rural Residential 8000 Precinct, Centre or Industrial Zone category </w:t>
            </w:r>
          </w:p>
          <w:p w14:paraId="7E2D76D2"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AO9.3</w:t>
            </w:r>
          </w:p>
          <w:p w14:paraId="3134451C"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Excavation is limited to a maximum vertical depth of one metre.</w:t>
            </w:r>
          </w:p>
          <w:p w14:paraId="3D4C0F86" w14:textId="77777777" w:rsidR="00526799" w:rsidRPr="00526799" w:rsidRDefault="00526799" w:rsidP="007F60B8">
            <w:pPr>
              <w:ind w:left="113" w:right="113"/>
              <w:jc w:val="both"/>
              <w:rPr>
                <w:rFonts w:eastAsia="Calibri" w:cs="Arial"/>
                <w:b/>
                <w:szCs w:val="20"/>
                <w:lang w:val="en-US"/>
              </w:rPr>
            </w:pPr>
          </w:p>
          <w:p w14:paraId="29FC650B"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AO9.4</w:t>
            </w:r>
          </w:p>
          <w:p w14:paraId="52BD16E9"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Excavation or filling does not result in the permanent retention of surface water.</w:t>
            </w:r>
          </w:p>
          <w:p w14:paraId="3B24C029" w14:textId="77777777" w:rsidR="00526799" w:rsidRPr="00526799" w:rsidRDefault="00526799" w:rsidP="007F60B8">
            <w:pPr>
              <w:ind w:left="113" w:right="113"/>
              <w:jc w:val="both"/>
              <w:rPr>
                <w:rFonts w:eastAsia="Calibri" w:cs="Arial"/>
                <w:b/>
                <w:szCs w:val="20"/>
                <w:lang w:val="en-US"/>
              </w:rPr>
            </w:pPr>
          </w:p>
          <w:p w14:paraId="0BECC4BB"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Where in the Rural Residential 20,000 Precinct</w:t>
            </w:r>
          </w:p>
          <w:p w14:paraId="1543F9A0"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AO9.5</w:t>
            </w:r>
          </w:p>
          <w:p w14:paraId="6BCC31BC"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Excavation is limited to a maximum vertical depth of 2 metres.</w:t>
            </w:r>
          </w:p>
        </w:tc>
        <w:tc>
          <w:tcPr>
            <w:tcW w:w="6804" w:type="dxa"/>
          </w:tcPr>
          <w:p w14:paraId="285E2DDD" w14:textId="77777777" w:rsidR="00526799" w:rsidRPr="00526799" w:rsidRDefault="00526799" w:rsidP="00526799">
            <w:pPr>
              <w:ind w:left="113" w:right="113"/>
              <w:rPr>
                <w:rFonts w:eastAsia="Calibri" w:cs="Arial"/>
                <w:b/>
                <w:bCs/>
                <w:szCs w:val="20"/>
                <w:lang w:val="en-US"/>
              </w:rPr>
            </w:pPr>
          </w:p>
        </w:tc>
      </w:tr>
      <w:tr w:rsidR="00526799" w:rsidRPr="00526799" w14:paraId="0AE401E8" w14:textId="082DA280"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051CF7B5"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PO10</w:t>
            </w:r>
          </w:p>
          <w:p w14:paraId="43578191"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Filling or excavation does not result in works or structures that extract or retain overland water flows, unless approval has been given to incorporate works that retain overland flows in accordance with the provisions of a Water Resource Plan approved under the </w:t>
            </w:r>
            <w:r w:rsidRPr="00526799">
              <w:rPr>
                <w:rFonts w:eastAsia="Calibri" w:cs="Arial"/>
                <w:i/>
                <w:szCs w:val="20"/>
                <w:lang w:val="en-US"/>
              </w:rPr>
              <w:t>Water Act 2000</w:t>
            </w:r>
            <w:r w:rsidRPr="00526799">
              <w:rPr>
                <w:rFonts w:eastAsia="Calibri" w:cs="Arial"/>
                <w:szCs w:val="20"/>
                <w:lang w:val="en-US"/>
              </w:rPr>
              <w:t>.</w:t>
            </w:r>
          </w:p>
        </w:tc>
        <w:tc>
          <w:tcPr>
            <w:tcW w:w="4677" w:type="dxa"/>
          </w:tcPr>
          <w:p w14:paraId="0F1274F7"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AO10.1</w:t>
            </w:r>
          </w:p>
          <w:p w14:paraId="521DE0AD"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Excavating or filling does not increase the ‘take’ of overland flow runoff above that provided under a water entitlement.</w:t>
            </w:r>
          </w:p>
          <w:p w14:paraId="5F41287C" w14:textId="77777777" w:rsidR="00526799" w:rsidRPr="00526799" w:rsidRDefault="00526799" w:rsidP="007F60B8">
            <w:pPr>
              <w:ind w:left="113" w:right="113"/>
              <w:jc w:val="both"/>
              <w:rPr>
                <w:rFonts w:eastAsia="Calibri" w:cs="Arial"/>
                <w:b/>
                <w:szCs w:val="20"/>
                <w:lang w:val="en-US"/>
              </w:rPr>
            </w:pPr>
          </w:p>
          <w:p w14:paraId="61BAFC81"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AO10.2</w:t>
            </w:r>
          </w:p>
          <w:p w14:paraId="5D75CA70"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No filling is carried out in a waterway.</w:t>
            </w:r>
          </w:p>
        </w:tc>
        <w:tc>
          <w:tcPr>
            <w:tcW w:w="6804" w:type="dxa"/>
          </w:tcPr>
          <w:p w14:paraId="59BFCABC" w14:textId="77777777" w:rsidR="00526799" w:rsidRPr="00526799" w:rsidRDefault="00526799" w:rsidP="00526799">
            <w:pPr>
              <w:ind w:left="113" w:right="113"/>
              <w:rPr>
                <w:rFonts w:eastAsia="Calibri" w:cs="Arial"/>
                <w:b/>
                <w:szCs w:val="20"/>
                <w:lang w:val="en-US"/>
              </w:rPr>
            </w:pPr>
          </w:p>
        </w:tc>
      </w:tr>
      <w:tr w:rsidR="00526799" w:rsidRPr="00526799" w14:paraId="427F1A67" w14:textId="128EEF6E"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6829E53D"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PO11</w:t>
            </w:r>
          </w:p>
          <w:p w14:paraId="2A4C4BB3"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Filling and/or excavation works are designed using appropriate engineering standards.</w:t>
            </w:r>
          </w:p>
        </w:tc>
        <w:tc>
          <w:tcPr>
            <w:tcW w:w="4677" w:type="dxa"/>
          </w:tcPr>
          <w:p w14:paraId="4C00D324"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AO11.1</w:t>
            </w:r>
          </w:p>
          <w:p w14:paraId="56B0DFFF"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All filling or excavation works are designed by a Registered Professional Engineer of Queensland or certified by a statement from a Registered Professional Engineer of Queensland that the works are structurally sound.</w:t>
            </w:r>
          </w:p>
          <w:p w14:paraId="5A8E2442" w14:textId="77777777" w:rsidR="00526799" w:rsidRPr="00526799" w:rsidRDefault="00526799" w:rsidP="007F60B8">
            <w:pPr>
              <w:ind w:left="113" w:right="113"/>
              <w:jc w:val="both"/>
              <w:rPr>
                <w:rFonts w:eastAsia="Calibri" w:cs="Arial"/>
                <w:b/>
                <w:szCs w:val="20"/>
                <w:lang w:val="en-US"/>
              </w:rPr>
            </w:pPr>
          </w:p>
          <w:p w14:paraId="1A11E407"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AO11.2</w:t>
            </w:r>
          </w:p>
          <w:p w14:paraId="3B65912C"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lastRenderedPageBreak/>
              <w:t xml:space="preserve">Filling and excavation </w:t>
            </w:r>
            <w:proofErr w:type="gramStart"/>
            <w:r w:rsidRPr="00526799">
              <w:rPr>
                <w:rFonts w:eastAsia="Calibri" w:cs="Arial"/>
                <w:szCs w:val="20"/>
                <w:lang w:val="en-US"/>
              </w:rPr>
              <w:t>is</w:t>
            </w:r>
            <w:proofErr w:type="gramEnd"/>
            <w:r w:rsidRPr="00526799">
              <w:rPr>
                <w:rFonts w:eastAsia="Calibri" w:cs="Arial"/>
                <w:szCs w:val="20"/>
                <w:lang w:val="en-US"/>
              </w:rPr>
              <w:t xml:space="preserve"> designed and constructed in accordance with Australian Standard </w:t>
            </w:r>
            <w:r w:rsidRPr="00526799">
              <w:rPr>
                <w:rFonts w:eastAsia="Calibri" w:cs="Arial"/>
                <w:i/>
                <w:iCs/>
                <w:szCs w:val="20"/>
                <w:lang w:val="en-US"/>
              </w:rPr>
              <w:t>AS3798—Guidelines on earthworks for commercial and residential developments</w:t>
            </w:r>
            <w:r w:rsidRPr="00526799">
              <w:rPr>
                <w:rFonts w:eastAsia="Calibri" w:cs="Arial"/>
                <w:szCs w:val="20"/>
                <w:lang w:val="en-US"/>
              </w:rPr>
              <w:t>.</w:t>
            </w:r>
          </w:p>
        </w:tc>
        <w:tc>
          <w:tcPr>
            <w:tcW w:w="6804" w:type="dxa"/>
          </w:tcPr>
          <w:p w14:paraId="1084177F" w14:textId="77777777" w:rsidR="00526799" w:rsidRPr="00526799" w:rsidRDefault="00526799" w:rsidP="00526799">
            <w:pPr>
              <w:ind w:left="113" w:right="113"/>
              <w:rPr>
                <w:rFonts w:eastAsia="Calibri" w:cs="Arial"/>
                <w:b/>
                <w:szCs w:val="20"/>
                <w:lang w:val="en-US"/>
              </w:rPr>
            </w:pPr>
          </w:p>
        </w:tc>
      </w:tr>
      <w:tr w:rsidR="00526799" w:rsidRPr="00526799" w14:paraId="3EB131EA" w14:textId="2BBCD0C4"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2124BDF5"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PO12</w:t>
            </w:r>
          </w:p>
          <w:p w14:paraId="19981FFF"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Filling and/or excavation does not:</w:t>
            </w:r>
          </w:p>
          <w:p w14:paraId="7C1031C1" w14:textId="77777777" w:rsidR="00526799" w:rsidRPr="00526799" w:rsidRDefault="00526799" w:rsidP="007F60B8">
            <w:pPr>
              <w:numPr>
                <w:ilvl w:val="0"/>
                <w:numId w:val="6"/>
              </w:numPr>
              <w:tabs>
                <w:tab w:val="left" w:pos="675"/>
              </w:tabs>
              <w:ind w:left="470" w:right="113" w:hanging="357"/>
              <w:jc w:val="both"/>
              <w:rPr>
                <w:rFonts w:eastAsia="Calibri" w:cs="Arial"/>
                <w:szCs w:val="20"/>
                <w:lang w:val="en-US"/>
              </w:rPr>
            </w:pPr>
            <w:r w:rsidRPr="00526799">
              <w:rPr>
                <w:rFonts w:eastAsia="Calibri" w:cs="Arial"/>
                <w:szCs w:val="20"/>
                <w:lang w:val="en-US"/>
              </w:rPr>
              <w:t>increase flood or drainage impacts on neighbouring properties; or</w:t>
            </w:r>
          </w:p>
          <w:p w14:paraId="1451BB31" w14:textId="77777777" w:rsidR="00526799" w:rsidRPr="00526799" w:rsidRDefault="00526799" w:rsidP="007F60B8">
            <w:pPr>
              <w:numPr>
                <w:ilvl w:val="0"/>
                <w:numId w:val="6"/>
              </w:numPr>
              <w:tabs>
                <w:tab w:val="left" w:pos="675"/>
              </w:tabs>
              <w:ind w:left="470" w:right="113" w:hanging="357"/>
              <w:jc w:val="both"/>
              <w:rPr>
                <w:rFonts w:eastAsia="Calibri" w:cs="Arial"/>
                <w:szCs w:val="20"/>
                <w:lang w:val="en-US"/>
              </w:rPr>
            </w:pPr>
            <w:r w:rsidRPr="00526799">
              <w:rPr>
                <w:rFonts w:eastAsia="Calibri" w:cs="Arial"/>
                <w:szCs w:val="20"/>
                <w:lang w:val="en-US"/>
              </w:rPr>
              <w:t>cause pollution or contamination of nearby lands or watercourses.</w:t>
            </w:r>
          </w:p>
        </w:tc>
        <w:tc>
          <w:tcPr>
            <w:tcW w:w="4677" w:type="dxa"/>
          </w:tcPr>
          <w:p w14:paraId="1E8706DE"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AO12.1</w:t>
            </w:r>
          </w:p>
          <w:p w14:paraId="3D1F31BD"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Filling does not result in the ponding or pooling of water on the premises or adjoining properties.</w:t>
            </w:r>
          </w:p>
          <w:p w14:paraId="70C3F740" w14:textId="77777777" w:rsidR="00526799" w:rsidRPr="00526799" w:rsidRDefault="00526799" w:rsidP="007F60B8">
            <w:pPr>
              <w:ind w:left="113" w:right="113"/>
              <w:jc w:val="both"/>
              <w:rPr>
                <w:rFonts w:eastAsia="Calibri" w:cs="Arial"/>
                <w:b/>
                <w:szCs w:val="20"/>
                <w:lang w:val="en-US"/>
              </w:rPr>
            </w:pPr>
          </w:p>
          <w:p w14:paraId="28F1390E"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AO12.2</w:t>
            </w:r>
          </w:p>
          <w:p w14:paraId="492689A7"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Filling or excavation does not result in an increase in the velocity of overland flow to the extent of causing erosion, scouring or other damage to adjacent land.</w:t>
            </w:r>
          </w:p>
          <w:p w14:paraId="667BB504" w14:textId="77777777" w:rsidR="00526799" w:rsidRPr="00526799" w:rsidRDefault="00526799" w:rsidP="007F60B8">
            <w:pPr>
              <w:ind w:left="113" w:right="113"/>
              <w:jc w:val="both"/>
              <w:rPr>
                <w:rFonts w:eastAsia="Calibri" w:cs="Arial"/>
                <w:szCs w:val="20"/>
                <w:lang w:val="en-US"/>
              </w:rPr>
            </w:pPr>
          </w:p>
          <w:p w14:paraId="32DC4321"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AO12.3</w:t>
            </w:r>
          </w:p>
          <w:p w14:paraId="47081950"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For filling, only clean </w:t>
            </w:r>
            <w:proofErr w:type="gramStart"/>
            <w:r w:rsidRPr="00526799">
              <w:rPr>
                <w:rFonts w:eastAsia="Calibri" w:cs="Arial"/>
                <w:szCs w:val="20"/>
                <w:lang w:val="en-US"/>
              </w:rPr>
              <w:t>fill</w:t>
            </w:r>
            <w:proofErr w:type="gramEnd"/>
            <w:r w:rsidRPr="00526799">
              <w:rPr>
                <w:rFonts w:eastAsia="Calibri" w:cs="Arial"/>
                <w:szCs w:val="20"/>
                <w:lang w:val="en-US"/>
              </w:rPr>
              <w:t xml:space="preserve"> is used.</w:t>
            </w:r>
          </w:p>
          <w:p w14:paraId="1CBFE11D" w14:textId="77777777" w:rsidR="00526799" w:rsidRPr="00526799" w:rsidRDefault="00526799" w:rsidP="007F60B8">
            <w:pPr>
              <w:ind w:left="113" w:right="113"/>
              <w:jc w:val="both"/>
              <w:rPr>
                <w:rFonts w:eastAsia="Calibri" w:cs="Arial"/>
                <w:b/>
                <w:szCs w:val="20"/>
                <w:lang w:val="en-US"/>
              </w:rPr>
            </w:pPr>
          </w:p>
          <w:p w14:paraId="082BE137"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AO12.4</w:t>
            </w:r>
          </w:p>
          <w:p w14:paraId="166BBFFE"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For excavation, no contaminated material is excavated.</w:t>
            </w:r>
          </w:p>
        </w:tc>
        <w:tc>
          <w:tcPr>
            <w:tcW w:w="6804" w:type="dxa"/>
          </w:tcPr>
          <w:p w14:paraId="05A1C2D4" w14:textId="77777777" w:rsidR="00526799" w:rsidRPr="00526799" w:rsidRDefault="00526799" w:rsidP="00526799">
            <w:pPr>
              <w:ind w:left="113" w:right="113"/>
              <w:rPr>
                <w:rFonts w:eastAsia="Calibri" w:cs="Arial"/>
                <w:b/>
                <w:szCs w:val="20"/>
                <w:lang w:val="en-US"/>
              </w:rPr>
            </w:pPr>
          </w:p>
        </w:tc>
      </w:tr>
      <w:tr w:rsidR="00526799" w:rsidRPr="00526799" w14:paraId="7F6FA802" w14:textId="7DB9BFFB"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2ED4B227"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PO13</w:t>
            </w:r>
          </w:p>
          <w:p w14:paraId="30C35B55"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Erosion control measures and silt collection measures ensure that environmental values are protected during construction activities.</w:t>
            </w:r>
          </w:p>
        </w:tc>
        <w:tc>
          <w:tcPr>
            <w:tcW w:w="4677" w:type="dxa"/>
          </w:tcPr>
          <w:p w14:paraId="5193AB90"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AO13</w:t>
            </w:r>
          </w:p>
          <w:p w14:paraId="29298B6E" w14:textId="77777777" w:rsidR="00526799" w:rsidRPr="00526799" w:rsidRDefault="00526799" w:rsidP="007F60B8">
            <w:pPr>
              <w:ind w:left="113" w:right="113"/>
              <w:jc w:val="both"/>
              <w:rPr>
                <w:rFonts w:eastAsia="Calibri" w:cs="Arial"/>
                <w:b/>
                <w:szCs w:val="20"/>
                <w:lang w:val="en-US"/>
              </w:rPr>
            </w:pPr>
            <w:r w:rsidRPr="00526799">
              <w:rPr>
                <w:rFonts w:eastAsia="Calibri" w:cs="Arial"/>
                <w:szCs w:val="20"/>
                <w:lang w:val="en-US"/>
              </w:rPr>
              <w:t xml:space="preserve">During construction soil erosion and sediment is controlled in accordance with standards contained in </w:t>
            </w:r>
            <w:r w:rsidRPr="00526799">
              <w:rPr>
                <w:rFonts w:eastAsia="Calibri" w:cs="Arial"/>
                <w:b/>
                <w:szCs w:val="20"/>
                <w:lang w:val="en-US"/>
              </w:rPr>
              <w:t>SC6.2 – Planning Scheme</w:t>
            </w:r>
          </w:p>
          <w:p w14:paraId="39D6C5D1" w14:textId="77777777" w:rsidR="00526799" w:rsidRPr="00526799" w:rsidRDefault="00526799" w:rsidP="007F60B8">
            <w:pPr>
              <w:ind w:left="113" w:right="113"/>
              <w:jc w:val="both"/>
              <w:rPr>
                <w:rFonts w:eastAsia="Calibri" w:cs="Arial"/>
                <w:szCs w:val="20"/>
                <w:lang w:val="en-US"/>
              </w:rPr>
            </w:pPr>
            <w:r w:rsidRPr="00526799">
              <w:rPr>
                <w:rFonts w:eastAsia="Calibri" w:cs="Arial"/>
                <w:b/>
                <w:szCs w:val="20"/>
                <w:lang w:val="en-US"/>
              </w:rPr>
              <w:t>Policy 1 – Design and Construction Standards</w:t>
            </w:r>
            <w:r w:rsidRPr="00526799">
              <w:rPr>
                <w:rFonts w:eastAsia="Calibri" w:cs="Arial"/>
                <w:szCs w:val="20"/>
                <w:lang w:val="en-US"/>
              </w:rPr>
              <w:t>.</w:t>
            </w:r>
          </w:p>
        </w:tc>
        <w:tc>
          <w:tcPr>
            <w:tcW w:w="6804" w:type="dxa"/>
          </w:tcPr>
          <w:p w14:paraId="5A070A0D" w14:textId="77777777" w:rsidR="00526799" w:rsidRPr="00526799" w:rsidRDefault="00526799" w:rsidP="00526799">
            <w:pPr>
              <w:ind w:left="113" w:right="113"/>
              <w:rPr>
                <w:rFonts w:eastAsia="Calibri" w:cs="Arial"/>
                <w:b/>
                <w:szCs w:val="20"/>
                <w:lang w:val="en-US"/>
              </w:rPr>
            </w:pPr>
          </w:p>
        </w:tc>
      </w:tr>
      <w:tr w:rsidR="007925D7" w:rsidRPr="00526799" w14:paraId="3AF7E320" w14:textId="2FAAFFB1" w:rsidTr="00F125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4E1FFB32" w14:textId="70494DAA" w:rsidR="007925D7" w:rsidRPr="00526799" w:rsidRDefault="007925D7" w:rsidP="00526799">
            <w:pPr>
              <w:ind w:left="113" w:right="113"/>
              <w:rPr>
                <w:rFonts w:eastAsia="Calibri" w:cs="Arial"/>
                <w:b/>
                <w:szCs w:val="20"/>
                <w:lang w:val="en-US"/>
              </w:rPr>
            </w:pPr>
            <w:r w:rsidRPr="00526799">
              <w:rPr>
                <w:rFonts w:eastAsia="Calibri" w:cs="Arial"/>
                <w:b/>
                <w:szCs w:val="20"/>
                <w:lang w:val="en-US"/>
              </w:rPr>
              <w:t>Vegetation Clearing</w:t>
            </w:r>
          </w:p>
        </w:tc>
      </w:tr>
      <w:tr w:rsidR="00526799" w:rsidRPr="00526799" w14:paraId="235B501A" w14:textId="485435CF"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52D12335"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PO14</w:t>
            </w:r>
          </w:p>
          <w:p w14:paraId="3C408743"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Vegetation must be protected to ensure that:</w:t>
            </w:r>
          </w:p>
          <w:p w14:paraId="1291FB78" w14:textId="77777777" w:rsidR="00526799" w:rsidRPr="00526799" w:rsidRDefault="00526799" w:rsidP="007F60B8">
            <w:pPr>
              <w:numPr>
                <w:ilvl w:val="0"/>
                <w:numId w:val="7"/>
              </w:numPr>
              <w:tabs>
                <w:tab w:val="left" w:pos="666"/>
                <w:tab w:val="left" w:pos="667"/>
              </w:tabs>
              <w:ind w:right="113"/>
              <w:jc w:val="both"/>
              <w:rPr>
                <w:rFonts w:eastAsia="Calibri" w:cs="Arial"/>
                <w:szCs w:val="20"/>
                <w:lang w:val="en-US"/>
              </w:rPr>
            </w:pPr>
            <w:r w:rsidRPr="00526799">
              <w:rPr>
                <w:rFonts w:eastAsia="Calibri" w:cs="Arial"/>
                <w:szCs w:val="20"/>
                <w:lang w:val="en-US"/>
              </w:rPr>
              <w:t xml:space="preserve">vegetation of historical, cultural or visual significance is </w:t>
            </w:r>
            <w:proofErr w:type="gramStart"/>
            <w:r w:rsidRPr="00526799">
              <w:rPr>
                <w:rFonts w:eastAsia="Calibri" w:cs="Arial"/>
                <w:szCs w:val="20"/>
                <w:lang w:val="en-US"/>
              </w:rPr>
              <w:t>retained;</w:t>
            </w:r>
            <w:proofErr w:type="gramEnd"/>
          </w:p>
          <w:p w14:paraId="0568F42D" w14:textId="77777777" w:rsidR="00526799" w:rsidRPr="00526799" w:rsidRDefault="00526799" w:rsidP="007F60B8">
            <w:pPr>
              <w:numPr>
                <w:ilvl w:val="0"/>
                <w:numId w:val="7"/>
              </w:numPr>
              <w:tabs>
                <w:tab w:val="left" w:pos="666"/>
                <w:tab w:val="left" w:pos="667"/>
              </w:tabs>
              <w:ind w:right="113"/>
              <w:jc w:val="both"/>
              <w:rPr>
                <w:rFonts w:eastAsia="Calibri" w:cs="Arial"/>
                <w:szCs w:val="20"/>
                <w:lang w:val="en-US"/>
              </w:rPr>
            </w:pPr>
            <w:r w:rsidRPr="00526799">
              <w:rPr>
                <w:rFonts w:eastAsia="Calibri" w:cs="Arial"/>
                <w:szCs w:val="20"/>
                <w:lang w:val="en-US"/>
              </w:rPr>
              <w:lastRenderedPageBreak/>
              <w:t xml:space="preserve">vegetation is retained for erosion prevention and slope </w:t>
            </w:r>
            <w:proofErr w:type="spellStart"/>
            <w:proofErr w:type="gramStart"/>
            <w:r w:rsidRPr="00526799">
              <w:rPr>
                <w:rFonts w:eastAsia="Calibri" w:cs="Arial"/>
                <w:szCs w:val="20"/>
                <w:lang w:val="en-US"/>
              </w:rPr>
              <w:t>stabilisation</w:t>
            </w:r>
            <w:proofErr w:type="spellEnd"/>
            <w:r w:rsidRPr="00526799">
              <w:rPr>
                <w:rFonts w:eastAsia="Calibri" w:cs="Arial"/>
                <w:szCs w:val="20"/>
                <w:lang w:val="en-US"/>
              </w:rPr>
              <w:t>;</w:t>
            </w:r>
            <w:proofErr w:type="gramEnd"/>
          </w:p>
          <w:p w14:paraId="266C2410" w14:textId="77777777" w:rsidR="00526799" w:rsidRPr="00526799" w:rsidRDefault="00526799" w:rsidP="007F60B8">
            <w:pPr>
              <w:numPr>
                <w:ilvl w:val="0"/>
                <w:numId w:val="7"/>
              </w:numPr>
              <w:tabs>
                <w:tab w:val="left" w:pos="666"/>
                <w:tab w:val="left" w:pos="667"/>
              </w:tabs>
              <w:ind w:right="113"/>
              <w:jc w:val="both"/>
              <w:rPr>
                <w:rFonts w:eastAsia="Calibri" w:cs="Arial"/>
                <w:szCs w:val="20"/>
                <w:lang w:val="en-US"/>
              </w:rPr>
            </w:pPr>
            <w:r w:rsidRPr="00526799">
              <w:rPr>
                <w:rFonts w:eastAsia="Calibri" w:cs="Arial"/>
                <w:szCs w:val="20"/>
                <w:lang w:val="en-US"/>
              </w:rPr>
              <w:t xml:space="preserve">the character of the local area is </w:t>
            </w:r>
            <w:proofErr w:type="gramStart"/>
            <w:r w:rsidRPr="00526799">
              <w:rPr>
                <w:rFonts w:eastAsia="Calibri" w:cs="Arial"/>
                <w:szCs w:val="20"/>
                <w:lang w:val="en-US"/>
              </w:rPr>
              <w:t>maintained;</w:t>
            </w:r>
            <w:proofErr w:type="gramEnd"/>
          </w:p>
          <w:p w14:paraId="1DB038C1" w14:textId="77777777" w:rsidR="00526799" w:rsidRPr="00526799" w:rsidRDefault="00526799" w:rsidP="007F60B8">
            <w:pPr>
              <w:numPr>
                <w:ilvl w:val="0"/>
                <w:numId w:val="7"/>
              </w:numPr>
              <w:tabs>
                <w:tab w:val="left" w:pos="669"/>
                <w:tab w:val="left" w:pos="670"/>
              </w:tabs>
              <w:ind w:right="113"/>
              <w:jc w:val="both"/>
              <w:rPr>
                <w:rFonts w:eastAsia="Calibri" w:cs="Arial"/>
                <w:szCs w:val="20"/>
                <w:lang w:val="en-US"/>
              </w:rPr>
            </w:pPr>
            <w:r w:rsidRPr="00526799">
              <w:rPr>
                <w:rFonts w:eastAsia="Calibri" w:cs="Arial"/>
                <w:szCs w:val="20"/>
                <w:lang w:val="en-US"/>
              </w:rPr>
              <w:t xml:space="preserve">pedestrian shading is </w:t>
            </w:r>
            <w:proofErr w:type="gramStart"/>
            <w:r w:rsidRPr="00526799">
              <w:rPr>
                <w:rFonts w:eastAsia="Calibri" w:cs="Arial"/>
                <w:szCs w:val="20"/>
                <w:lang w:val="en-US"/>
              </w:rPr>
              <w:t>maintained;</w:t>
            </w:r>
            <w:proofErr w:type="gramEnd"/>
          </w:p>
          <w:p w14:paraId="0C7E0DC5" w14:textId="77777777" w:rsidR="00526799" w:rsidRPr="00526799" w:rsidRDefault="00526799" w:rsidP="007F60B8">
            <w:pPr>
              <w:numPr>
                <w:ilvl w:val="0"/>
                <w:numId w:val="7"/>
              </w:numPr>
              <w:tabs>
                <w:tab w:val="left" w:pos="669"/>
                <w:tab w:val="left" w:pos="670"/>
              </w:tabs>
              <w:ind w:right="113"/>
              <w:jc w:val="both"/>
              <w:rPr>
                <w:rFonts w:eastAsia="Calibri" w:cs="Arial"/>
                <w:szCs w:val="20"/>
                <w:lang w:val="en-US"/>
              </w:rPr>
            </w:pPr>
            <w:proofErr w:type="gramStart"/>
            <w:r w:rsidRPr="00526799">
              <w:rPr>
                <w:rFonts w:eastAsia="Calibri" w:cs="Arial"/>
                <w:szCs w:val="20"/>
                <w:lang w:val="en-US"/>
              </w:rPr>
              <w:t>the</w:t>
            </w:r>
            <w:proofErr w:type="gramEnd"/>
            <w:r w:rsidRPr="00526799">
              <w:rPr>
                <w:rFonts w:eastAsia="Calibri" w:cs="Arial"/>
                <w:szCs w:val="20"/>
                <w:lang w:val="en-US"/>
              </w:rPr>
              <w:t xml:space="preserve"> conservation of natural biodiversity is assisted.</w:t>
            </w:r>
          </w:p>
        </w:tc>
        <w:tc>
          <w:tcPr>
            <w:tcW w:w="4677" w:type="dxa"/>
          </w:tcPr>
          <w:p w14:paraId="5AE3073F"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lastRenderedPageBreak/>
              <w:t>AO14.1</w:t>
            </w:r>
          </w:p>
          <w:p w14:paraId="5299DD11"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Street trees are retained.</w:t>
            </w:r>
          </w:p>
          <w:p w14:paraId="73C2C591" w14:textId="77777777" w:rsidR="00526799" w:rsidRPr="00526799" w:rsidRDefault="00526799" w:rsidP="007F60B8">
            <w:pPr>
              <w:ind w:left="113" w:right="113"/>
              <w:jc w:val="both"/>
              <w:rPr>
                <w:rFonts w:eastAsia="Calibri" w:cs="Arial"/>
                <w:b/>
                <w:szCs w:val="20"/>
                <w:lang w:val="en-US"/>
              </w:rPr>
            </w:pPr>
          </w:p>
          <w:p w14:paraId="12223733"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AO14.2</w:t>
            </w:r>
          </w:p>
          <w:p w14:paraId="45AC6C2E"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No vegetation clearing (unless minor operational work).</w:t>
            </w:r>
          </w:p>
          <w:p w14:paraId="02BEF396" w14:textId="77777777" w:rsidR="00526799" w:rsidRPr="00526799" w:rsidRDefault="00526799" w:rsidP="007F60B8">
            <w:pPr>
              <w:ind w:left="113" w:right="113"/>
              <w:jc w:val="both"/>
              <w:rPr>
                <w:rFonts w:eastAsia="Calibri" w:cs="Arial"/>
                <w:szCs w:val="20"/>
                <w:lang w:val="en-US"/>
              </w:rPr>
            </w:pPr>
          </w:p>
          <w:p w14:paraId="729370EB"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OR</w:t>
            </w:r>
          </w:p>
          <w:p w14:paraId="1D5FE6C1" w14:textId="77777777" w:rsidR="00526799" w:rsidRPr="00526799" w:rsidRDefault="00526799" w:rsidP="007F60B8">
            <w:pPr>
              <w:ind w:left="113" w:right="113"/>
              <w:jc w:val="both"/>
              <w:rPr>
                <w:rFonts w:eastAsia="Calibri" w:cs="Arial"/>
                <w:szCs w:val="20"/>
                <w:lang w:val="en-US"/>
              </w:rPr>
            </w:pPr>
          </w:p>
          <w:p w14:paraId="03243C94"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AO14.3</w:t>
            </w:r>
          </w:p>
          <w:p w14:paraId="2034B1AA"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Vegetation clearing is essential for carrying out work </w:t>
            </w:r>
            <w:proofErr w:type="spellStart"/>
            <w:r w:rsidRPr="00526799">
              <w:rPr>
                <w:rFonts w:eastAsia="Calibri" w:cs="Arial"/>
                <w:szCs w:val="20"/>
                <w:lang w:val="en-US"/>
              </w:rPr>
              <w:t>authorised</w:t>
            </w:r>
            <w:proofErr w:type="spellEnd"/>
            <w:r w:rsidRPr="00526799">
              <w:rPr>
                <w:rFonts w:eastAsia="Calibri" w:cs="Arial"/>
                <w:szCs w:val="20"/>
                <w:lang w:val="en-US"/>
              </w:rPr>
              <w:t xml:space="preserve"> or required under another Act. </w:t>
            </w:r>
          </w:p>
          <w:p w14:paraId="20908D92" w14:textId="77777777" w:rsidR="00526799" w:rsidRPr="00526799" w:rsidRDefault="00526799" w:rsidP="007F60B8">
            <w:pPr>
              <w:ind w:left="113" w:right="113"/>
              <w:jc w:val="both"/>
              <w:rPr>
                <w:rFonts w:eastAsia="Calibri" w:cs="Arial"/>
                <w:szCs w:val="20"/>
                <w:lang w:val="en-US"/>
              </w:rPr>
            </w:pPr>
          </w:p>
          <w:p w14:paraId="6493D71B"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OR</w:t>
            </w:r>
          </w:p>
          <w:p w14:paraId="16B00213" w14:textId="77777777" w:rsidR="00526799" w:rsidRPr="00526799" w:rsidRDefault="00526799" w:rsidP="007F60B8">
            <w:pPr>
              <w:ind w:left="113" w:right="113"/>
              <w:jc w:val="both"/>
              <w:rPr>
                <w:rFonts w:eastAsia="Calibri" w:cs="Arial"/>
                <w:szCs w:val="20"/>
                <w:lang w:val="en-US"/>
              </w:rPr>
            </w:pPr>
          </w:p>
          <w:p w14:paraId="794C4F84"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AO14.4</w:t>
            </w:r>
          </w:p>
          <w:p w14:paraId="7F937921"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Vegetation clearing is within the path of, or within three metres of road, water supply, sewage or stormwater drainage works.</w:t>
            </w:r>
          </w:p>
          <w:p w14:paraId="579AE2B2" w14:textId="77777777" w:rsidR="00526799" w:rsidRPr="00526799" w:rsidRDefault="00526799" w:rsidP="007F60B8">
            <w:pPr>
              <w:ind w:left="113" w:right="113"/>
              <w:jc w:val="both"/>
              <w:rPr>
                <w:rFonts w:eastAsia="Calibri" w:cs="Arial"/>
                <w:szCs w:val="20"/>
                <w:lang w:val="en-US"/>
              </w:rPr>
            </w:pPr>
          </w:p>
          <w:p w14:paraId="6BF79C4E"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OR</w:t>
            </w:r>
          </w:p>
          <w:p w14:paraId="15344DC8" w14:textId="77777777" w:rsidR="00526799" w:rsidRPr="00526799" w:rsidRDefault="00526799" w:rsidP="007F60B8">
            <w:pPr>
              <w:ind w:left="113" w:right="113"/>
              <w:jc w:val="both"/>
              <w:rPr>
                <w:rFonts w:eastAsia="Calibri" w:cs="Arial"/>
                <w:szCs w:val="20"/>
                <w:lang w:val="en-US"/>
              </w:rPr>
            </w:pPr>
          </w:p>
          <w:p w14:paraId="1298A56F"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AO14.5</w:t>
            </w:r>
          </w:p>
          <w:p w14:paraId="050F5A83"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Vegetation clearing is within three metres (as measured from the centre of the diameter of the tree’s trunk, at ground level) of an existing building or structure.</w:t>
            </w:r>
          </w:p>
          <w:p w14:paraId="390FF622" w14:textId="77777777" w:rsidR="00526799" w:rsidRPr="00526799" w:rsidRDefault="00526799" w:rsidP="007F60B8">
            <w:pPr>
              <w:ind w:left="113" w:right="113"/>
              <w:jc w:val="both"/>
              <w:rPr>
                <w:rFonts w:eastAsia="Calibri" w:cs="Arial"/>
                <w:szCs w:val="20"/>
                <w:lang w:val="en-US"/>
              </w:rPr>
            </w:pPr>
          </w:p>
          <w:p w14:paraId="34624614"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OR</w:t>
            </w:r>
          </w:p>
          <w:p w14:paraId="39272AEF" w14:textId="77777777" w:rsidR="00526799" w:rsidRPr="00526799" w:rsidRDefault="00526799" w:rsidP="007F60B8">
            <w:pPr>
              <w:ind w:left="113" w:right="113"/>
              <w:jc w:val="both"/>
              <w:rPr>
                <w:rFonts w:eastAsia="Calibri" w:cs="Arial"/>
                <w:szCs w:val="20"/>
                <w:lang w:val="en-US"/>
              </w:rPr>
            </w:pPr>
          </w:p>
          <w:p w14:paraId="2EA6D91C"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AO14.6</w:t>
            </w:r>
          </w:p>
          <w:p w14:paraId="51E3C92F"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 xml:space="preserve">Vegetation clearing is </w:t>
            </w:r>
            <w:proofErr w:type="spellStart"/>
            <w:r w:rsidRPr="00526799">
              <w:rPr>
                <w:rFonts w:eastAsia="Calibri" w:cs="Arial"/>
                <w:szCs w:val="20"/>
                <w:lang w:val="en-US"/>
              </w:rPr>
              <w:t>authorised</w:t>
            </w:r>
            <w:proofErr w:type="spellEnd"/>
            <w:r w:rsidRPr="00526799">
              <w:rPr>
                <w:rFonts w:eastAsia="Calibri" w:cs="Arial"/>
                <w:szCs w:val="20"/>
                <w:lang w:val="en-US"/>
              </w:rPr>
              <w:t xml:space="preserve"> by Council and is considered as one or more of the following:</w:t>
            </w:r>
          </w:p>
          <w:p w14:paraId="2AA9EAE4" w14:textId="77777777" w:rsidR="00526799" w:rsidRPr="00526799" w:rsidRDefault="00526799" w:rsidP="007F60B8">
            <w:pPr>
              <w:numPr>
                <w:ilvl w:val="0"/>
                <w:numId w:val="8"/>
              </w:numPr>
              <w:tabs>
                <w:tab w:val="left" w:pos="595"/>
              </w:tabs>
              <w:ind w:right="113"/>
              <w:jc w:val="both"/>
              <w:rPr>
                <w:rFonts w:eastAsia="Calibri" w:cs="Arial"/>
                <w:szCs w:val="20"/>
                <w:lang w:val="en-US"/>
              </w:rPr>
            </w:pPr>
            <w:proofErr w:type="gramStart"/>
            <w:r w:rsidRPr="00526799">
              <w:rPr>
                <w:rFonts w:eastAsia="Calibri" w:cs="Arial"/>
                <w:szCs w:val="20"/>
                <w:lang w:val="en-US"/>
              </w:rPr>
              <w:t>actually</w:t>
            </w:r>
            <w:proofErr w:type="gramEnd"/>
            <w:r w:rsidRPr="00526799">
              <w:rPr>
                <w:rFonts w:eastAsia="Calibri" w:cs="Arial"/>
                <w:szCs w:val="20"/>
                <w:lang w:val="en-US"/>
              </w:rPr>
              <w:t xml:space="preserve"> or potentially dangerous </w:t>
            </w:r>
            <w:proofErr w:type="gramStart"/>
            <w:r w:rsidRPr="00526799">
              <w:rPr>
                <w:rFonts w:eastAsia="Calibri" w:cs="Arial"/>
                <w:szCs w:val="20"/>
                <w:lang w:val="en-US"/>
              </w:rPr>
              <w:t>as a result of</w:t>
            </w:r>
            <w:proofErr w:type="gramEnd"/>
            <w:r w:rsidRPr="00526799">
              <w:rPr>
                <w:rFonts w:eastAsia="Calibri" w:cs="Arial"/>
                <w:szCs w:val="20"/>
                <w:lang w:val="en-US"/>
              </w:rPr>
              <w:t xml:space="preserve"> being dead, dying or diseased, structurally unsound, or having a growth form or habit which is </w:t>
            </w:r>
            <w:proofErr w:type="gramStart"/>
            <w:r w:rsidRPr="00526799">
              <w:rPr>
                <w:rFonts w:eastAsia="Calibri" w:cs="Arial"/>
                <w:szCs w:val="20"/>
                <w:lang w:val="en-US"/>
              </w:rPr>
              <w:t>hazardous;</w:t>
            </w:r>
            <w:proofErr w:type="gramEnd"/>
          </w:p>
          <w:p w14:paraId="53A4E5FF" w14:textId="77777777" w:rsidR="00526799" w:rsidRPr="00526799" w:rsidRDefault="00526799" w:rsidP="007F60B8">
            <w:pPr>
              <w:numPr>
                <w:ilvl w:val="0"/>
                <w:numId w:val="8"/>
              </w:numPr>
              <w:tabs>
                <w:tab w:val="left" w:pos="595"/>
              </w:tabs>
              <w:ind w:right="113"/>
              <w:jc w:val="both"/>
              <w:rPr>
                <w:rFonts w:eastAsia="Calibri" w:cs="Arial"/>
                <w:szCs w:val="20"/>
                <w:lang w:val="en-US"/>
              </w:rPr>
            </w:pPr>
            <w:r w:rsidRPr="00526799">
              <w:rPr>
                <w:rFonts w:eastAsia="Calibri" w:cs="Arial"/>
                <w:szCs w:val="20"/>
                <w:lang w:val="en-US"/>
              </w:rPr>
              <w:lastRenderedPageBreak/>
              <w:t xml:space="preserve">a threat to the safety of </w:t>
            </w:r>
            <w:proofErr w:type="gramStart"/>
            <w:r w:rsidRPr="00526799">
              <w:rPr>
                <w:rFonts w:eastAsia="Calibri" w:cs="Arial"/>
                <w:szCs w:val="20"/>
                <w:lang w:val="en-US"/>
              </w:rPr>
              <w:t>persons</w:t>
            </w:r>
            <w:proofErr w:type="gramEnd"/>
            <w:r w:rsidRPr="00526799">
              <w:rPr>
                <w:rFonts w:eastAsia="Calibri" w:cs="Arial"/>
                <w:szCs w:val="20"/>
                <w:lang w:val="en-US"/>
              </w:rPr>
              <w:t xml:space="preserve"> or property or the </w:t>
            </w:r>
            <w:proofErr w:type="gramStart"/>
            <w:r w:rsidRPr="00526799">
              <w:rPr>
                <w:rFonts w:eastAsia="Calibri" w:cs="Arial"/>
                <w:szCs w:val="20"/>
                <w:lang w:val="en-US"/>
              </w:rPr>
              <w:t>environment</w:t>
            </w:r>
            <w:proofErr w:type="gramEnd"/>
            <w:r w:rsidRPr="00526799">
              <w:rPr>
                <w:rFonts w:eastAsia="Calibri" w:cs="Arial"/>
                <w:szCs w:val="20"/>
                <w:lang w:val="en-US"/>
              </w:rPr>
              <w:t xml:space="preserve"> </w:t>
            </w:r>
            <w:proofErr w:type="gramStart"/>
            <w:r w:rsidRPr="00526799">
              <w:rPr>
                <w:rFonts w:eastAsia="Calibri" w:cs="Arial"/>
                <w:szCs w:val="20"/>
                <w:lang w:val="en-US"/>
              </w:rPr>
              <w:t>integrity;</w:t>
            </w:r>
            <w:proofErr w:type="gramEnd"/>
          </w:p>
          <w:p w14:paraId="7818582D" w14:textId="77777777" w:rsidR="00526799" w:rsidRPr="00526799" w:rsidRDefault="00526799" w:rsidP="007F60B8">
            <w:pPr>
              <w:numPr>
                <w:ilvl w:val="0"/>
                <w:numId w:val="8"/>
              </w:numPr>
              <w:tabs>
                <w:tab w:val="left" w:pos="595"/>
              </w:tabs>
              <w:ind w:right="113"/>
              <w:jc w:val="both"/>
              <w:rPr>
                <w:rFonts w:eastAsia="Calibri" w:cs="Arial"/>
                <w:szCs w:val="20"/>
                <w:lang w:val="en-US"/>
              </w:rPr>
            </w:pPr>
            <w:r w:rsidRPr="00526799">
              <w:rPr>
                <w:rFonts w:eastAsia="Calibri" w:cs="Arial"/>
                <w:szCs w:val="20"/>
                <w:lang w:val="en-US"/>
              </w:rPr>
              <w:t>restricting the habitability of the dwelling on the site.</w:t>
            </w:r>
          </w:p>
          <w:p w14:paraId="58FBAFCE" w14:textId="77777777" w:rsidR="00526799" w:rsidRPr="00526799" w:rsidRDefault="00526799" w:rsidP="007F60B8">
            <w:pPr>
              <w:ind w:left="113" w:right="113"/>
              <w:jc w:val="both"/>
              <w:rPr>
                <w:rFonts w:eastAsia="Calibri" w:cs="Arial"/>
                <w:szCs w:val="20"/>
                <w:lang w:val="en-US"/>
              </w:rPr>
            </w:pPr>
          </w:p>
          <w:p w14:paraId="4A945C9C"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OR</w:t>
            </w:r>
          </w:p>
          <w:p w14:paraId="38B1A04B" w14:textId="77777777" w:rsidR="00526799" w:rsidRPr="00526799" w:rsidRDefault="00526799" w:rsidP="007F60B8">
            <w:pPr>
              <w:ind w:left="113" w:right="113"/>
              <w:jc w:val="both"/>
              <w:rPr>
                <w:rFonts w:eastAsia="Calibri" w:cs="Arial"/>
                <w:szCs w:val="20"/>
                <w:lang w:val="en-US"/>
              </w:rPr>
            </w:pPr>
          </w:p>
          <w:p w14:paraId="115F2C00"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AO14.7</w:t>
            </w:r>
          </w:p>
          <w:p w14:paraId="0B27ABCF"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Vegetation clearing is essential for the survey of the property boundary by a licensed cadastral surveyor.</w:t>
            </w:r>
          </w:p>
          <w:p w14:paraId="0BF6D355" w14:textId="77777777" w:rsidR="00526799" w:rsidRPr="00526799" w:rsidRDefault="00526799" w:rsidP="007F60B8">
            <w:pPr>
              <w:ind w:left="113" w:right="113"/>
              <w:jc w:val="both"/>
              <w:rPr>
                <w:rFonts w:eastAsia="Calibri" w:cs="Arial"/>
                <w:szCs w:val="20"/>
                <w:lang w:val="en-US"/>
              </w:rPr>
            </w:pPr>
          </w:p>
          <w:p w14:paraId="17162106"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OR</w:t>
            </w:r>
          </w:p>
          <w:p w14:paraId="46FD9F0C" w14:textId="77777777" w:rsidR="00526799" w:rsidRPr="00526799" w:rsidRDefault="00526799" w:rsidP="007F60B8">
            <w:pPr>
              <w:ind w:left="113" w:right="113"/>
              <w:jc w:val="both"/>
              <w:rPr>
                <w:rFonts w:eastAsia="Calibri" w:cs="Arial"/>
                <w:szCs w:val="20"/>
                <w:lang w:val="en-US"/>
              </w:rPr>
            </w:pPr>
          </w:p>
          <w:p w14:paraId="0ACB6E39"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AO14.8</w:t>
            </w:r>
          </w:p>
          <w:p w14:paraId="39503289"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Vegetation clearing is undertaken to:</w:t>
            </w:r>
          </w:p>
          <w:p w14:paraId="54AF8397" w14:textId="77777777" w:rsidR="00526799" w:rsidRPr="00526799" w:rsidRDefault="00526799" w:rsidP="007F60B8">
            <w:pPr>
              <w:numPr>
                <w:ilvl w:val="0"/>
                <w:numId w:val="9"/>
              </w:numPr>
              <w:tabs>
                <w:tab w:val="left" w:pos="595"/>
              </w:tabs>
              <w:ind w:right="113"/>
              <w:jc w:val="both"/>
              <w:rPr>
                <w:rFonts w:eastAsia="Calibri" w:cs="Arial"/>
                <w:szCs w:val="20"/>
                <w:lang w:val="en-US"/>
              </w:rPr>
            </w:pPr>
            <w:r w:rsidRPr="00526799">
              <w:rPr>
                <w:rFonts w:eastAsia="Calibri" w:cs="Arial"/>
                <w:szCs w:val="20"/>
                <w:lang w:val="en-US"/>
              </w:rPr>
              <w:t xml:space="preserve">maintain an existing fire </w:t>
            </w:r>
            <w:proofErr w:type="gramStart"/>
            <w:r w:rsidRPr="00526799">
              <w:rPr>
                <w:rFonts w:eastAsia="Calibri" w:cs="Arial"/>
                <w:szCs w:val="20"/>
                <w:lang w:val="en-US"/>
              </w:rPr>
              <w:t>break;</w:t>
            </w:r>
            <w:proofErr w:type="gramEnd"/>
          </w:p>
          <w:p w14:paraId="6C581F2E" w14:textId="77777777" w:rsidR="00526799" w:rsidRPr="00526799" w:rsidRDefault="00526799" w:rsidP="007F60B8">
            <w:pPr>
              <w:numPr>
                <w:ilvl w:val="0"/>
                <w:numId w:val="9"/>
              </w:numPr>
              <w:ind w:right="113"/>
              <w:jc w:val="both"/>
              <w:rPr>
                <w:rFonts w:eastAsia="Calibri" w:cs="Arial"/>
                <w:szCs w:val="20"/>
                <w:lang w:val="en-US"/>
              </w:rPr>
            </w:pPr>
            <w:r w:rsidRPr="00526799">
              <w:rPr>
                <w:rFonts w:eastAsia="Calibri" w:cs="Arial"/>
                <w:szCs w:val="20"/>
                <w:lang w:val="en-US"/>
              </w:rPr>
              <w:t xml:space="preserve">undertake works </w:t>
            </w:r>
            <w:proofErr w:type="gramStart"/>
            <w:r w:rsidRPr="00526799">
              <w:rPr>
                <w:rFonts w:eastAsia="Calibri" w:cs="Arial"/>
                <w:szCs w:val="20"/>
                <w:lang w:val="en-US"/>
              </w:rPr>
              <w:t>in order to</w:t>
            </w:r>
            <w:proofErr w:type="gramEnd"/>
            <w:r w:rsidRPr="00526799">
              <w:rPr>
                <w:rFonts w:eastAsia="Calibri" w:cs="Arial"/>
                <w:szCs w:val="20"/>
                <w:lang w:val="en-US"/>
              </w:rPr>
              <w:t xml:space="preserve"> implement an approved fire management </w:t>
            </w:r>
            <w:proofErr w:type="gramStart"/>
            <w:r w:rsidRPr="00526799">
              <w:rPr>
                <w:rFonts w:eastAsia="Calibri" w:cs="Arial"/>
                <w:szCs w:val="20"/>
                <w:lang w:val="en-US"/>
              </w:rPr>
              <w:t>plan;</w:t>
            </w:r>
            <w:proofErr w:type="gramEnd"/>
          </w:p>
          <w:p w14:paraId="0BB11410" w14:textId="77777777" w:rsidR="00526799" w:rsidRPr="00526799" w:rsidRDefault="00526799" w:rsidP="007F60B8">
            <w:pPr>
              <w:numPr>
                <w:ilvl w:val="0"/>
                <w:numId w:val="9"/>
              </w:numPr>
              <w:ind w:right="113"/>
              <w:jc w:val="both"/>
              <w:rPr>
                <w:rFonts w:eastAsia="Calibri" w:cs="Arial"/>
                <w:szCs w:val="20"/>
                <w:lang w:val="en-US"/>
              </w:rPr>
            </w:pPr>
            <w:r w:rsidRPr="00526799">
              <w:rPr>
                <w:rFonts w:eastAsia="Calibri" w:cs="Arial"/>
                <w:szCs w:val="20"/>
                <w:lang w:val="en-US"/>
              </w:rPr>
              <w:t>or establish a fire break during a fire event or to contain fire in some other way during a fire event.</w:t>
            </w:r>
          </w:p>
        </w:tc>
        <w:tc>
          <w:tcPr>
            <w:tcW w:w="6804" w:type="dxa"/>
          </w:tcPr>
          <w:p w14:paraId="61A12DF9" w14:textId="77777777" w:rsidR="00526799" w:rsidRPr="00526799" w:rsidRDefault="00526799" w:rsidP="00526799">
            <w:pPr>
              <w:ind w:left="113" w:right="113"/>
              <w:rPr>
                <w:rFonts w:eastAsia="Calibri" w:cs="Arial"/>
                <w:b/>
                <w:szCs w:val="20"/>
                <w:lang w:val="en-US"/>
              </w:rPr>
            </w:pPr>
          </w:p>
        </w:tc>
      </w:tr>
      <w:tr w:rsidR="00526799" w:rsidRPr="00526799" w14:paraId="53ABE159" w14:textId="5E61090B"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011CC852"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lastRenderedPageBreak/>
              <w:t>PO15</w:t>
            </w:r>
          </w:p>
          <w:p w14:paraId="483DA138" w14:textId="77777777" w:rsidR="00526799" w:rsidRPr="00526799" w:rsidRDefault="00526799" w:rsidP="007F60B8">
            <w:pPr>
              <w:ind w:left="113" w:right="113"/>
              <w:jc w:val="both"/>
              <w:rPr>
                <w:rFonts w:eastAsia="Calibri" w:cs="Arial"/>
                <w:sz w:val="18"/>
                <w:szCs w:val="20"/>
                <w:lang w:val="en-US"/>
              </w:rPr>
            </w:pPr>
            <w:r w:rsidRPr="00526799">
              <w:rPr>
                <w:rFonts w:eastAsia="Calibri" w:cs="Arial"/>
                <w:szCs w:val="20"/>
                <w:lang w:val="en-US"/>
              </w:rPr>
              <w:t>Vegetation cleared from the site is disposed of in a manner that does not result in smoke being released into an urban area which would likely cause an impact on human health and safety.</w:t>
            </w:r>
          </w:p>
        </w:tc>
        <w:tc>
          <w:tcPr>
            <w:tcW w:w="4677" w:type="dxa"/>
          </w:tcPr>
          <w:p w14:paraId="7F5EBA5B"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AO15.1</w:t>
            </w:r>
          </w:p>
          <w:p w14:paraId="702038A1"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Vegetation is transported off-site for disposal or reuse.</w:t>
            </w:r>
          </w:p>
          <w:p w14:paraId="1F297732" w14:textId="77777777" w:rsidR="00526799" w:rsidRPr="00526799" w:rsidRDefault="00526799" w:rsidP="007F60B8">
            <w:pPr>
              <w:ind w:left="113" w:right="113"/>
              <w:jc w:val="both"/>
              <w:rPr>
                <w:rFonts w:eastAsia="Calibri" w:cs="Arial"/>
                <w:szCs w:val="20"/>
                <w:lang w:val="en-US"/>
              </w:rPr>
            </w:pPr>
          </w:p>
          <w:p w14:paraId="14CE72A3"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OR</w:t>
            </w:r>
          </w:p>
          <w:p w14:paraId="4F1096E7" w14:textId="77777777" w:rsidR="00526799" w:rsidRPr="00526799" w:rsidRDefault="00526799" w:rsidP="007F60B8">
            <w:pPr>
              <w:ind w:left="113" w:right="113"/>
              <w:jc w:val="both"/>
              <w:rPr>
                <w:rFonts w:eastAsia="Calibri" w:cs="Arial"/>
                <w:b/>
                <w:szCs w:val="20"/>
                <w:lang w:val="en-US"/>
              </w:rPr>
            </w:pPr>
          </w:p>
          <w:p w14:paraId="4A7A04E4"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AO15.2</w:t>
            </w:r>
          </w:p>
          <w:p w14:paraId="461A8B06"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Vegetation is processed on site for use in</w:t>
            </w:r>
          </w:p>
          <w:p w14:paraId="03544A1D"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landscaping or erosion and sedimentation control.</w:t>
            </w:r>
          </w:p>
        </w:tc>
        <w:tc>
          <w:tcPr>
            <w:tcW w:w="6804" w:type="dxa"/>
          </w:tcPr>
          <w:p w14:paraId="4BA4CF1A" w14:textId="77777777" w:rsidR="00526799" w:rsidRPr="00526799" w:rsidRDefault="00526799" w:rsidP="00526799">
            <w:pPr>
              <w:ind w:left="113" w:right="113"/>
              <w:rPr>
                <w:rFonts w:eastAsia="Calibri" w:cs="Arial"/>
                <w:b/>
                <w:szCs w:val="20"/>
                <w:lang w:val="en-US"/>
              </w:rPr>
            </w:pPr>
          </w:p>
        </w:tc>
      </w:tr>
      <w:tr w:rsidR="007925D7" w:rsidRPr="00526799" w14:paraId="4D4BD3B6" w14:textId="12652F90" w:rsidTr="00680B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5309" w:type="dxa"/>
            <w:gridSpan w:val="3"/>
          </w:tcPr>
          <w:p w14:paraId="4EDE5D09" w14:textId="015646BF" w:rsidR="007925D7" w:rsidRPr="00526799" w:rsidRDefault="007925D7" w:rsidP="00526799">
            <w:pPr>
              <w:ind w:left="113" w:right="113"/>
              <w:rPr>
                <w:rFonts w:eastAsia="Calibri" w:cs="Arial"/>
                <w:b/>
                <w:szCs w:val="20"/>
                <w:lang w:val="en-US"/>
              </w:rPr>
            </w:pPr>
            <w:r w:rsidRPr="00526799">
              <w:rPr>
                <w:rFonts w:eastAsia="Calibri" w:cs="Arial"/>
                <w:b/>
                <w:szCs w:val="20"/>
                <w:lang w:val="en-US"/>
              </w:rPr>
              <w:t>Landscaping Works</w:t>
            </w:r>
          </w:p>
        </w:tc>
      </w:tr>
      <w:tr w:rsidR="00526799" w:rsidRPr="00526799" w14:paraId="76CA979B" w14:textId="46E237A1" w:rsidTr="007F60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828" w:type="dxa"/>
          </w:tcPr>
          <w:p w14:paraId="7105BFAF"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lastRenderedPageBreak/>
              <w:t>PO16</w:t>
            </w:r>
          </w:p>
          <w:p w14:paraId="0497A339" w14:textId="77777777" w:rsidR="00526799" w:rsidRPr="00526799" w:rsidRDefault="00526799" w:rsidP="007F60B8">
            <w:pPr>
              <w:ind w:left="113" w:right="113"/>
              <w:jc w:val="both"/>
              <w:rPr>
                <w:rFonts w:eastAsia="Calibri" w:cs="Arial"/>
                <w:szCs w:val="20"/>
                <w:lang w:val="en-US"/>
              </w:rPr>
            </w:pPr>
            <w:r w:rsidRPr="00526799">
              <w:rPr>
                <w:rFonts w:eastAsia="Calibri" w:cs="Arial"/>
                <w:szCs w:val="20"/>
                <w:lang w:val="en-US"/>
              </w:rPr>
              <w:t>Where landscaping is to be provided, it shall:</w:t>
            </w:r>
          </w:p>
          <w:p w14:paraId="485D84EB" w14:textId="77777777" w:rsidR="00526799" w:rsidRPr="00526799" w:rsidRDefault="00526799" w:rsidP="007F60B8">
            <w:pPr>
              <w:numPr>
                <w:ilvl w:val="0"/>
                <w:numId w:val="10"/>
              </w:numPr>
              <w:tabs>
                <w:tab w:val="left" w:pos="666"/>
                <w:tab w:val="left" w:pos="667"/>
              </w:tabs>
              <w:ind w:right="113"/>
              <w:jc w:val="both"/>
              <w:rPr>
                <w:rFonts w:eastAsia="Calibri" w:cs="Arial"/>
                <w:szCs w:val="20"/>
                <w:lang w:val="en-US"/>
              </w:rPr>
            </w:pPr>
            <w:r w:rsidRPr="00526799">
              <w:rPr>
                <w:rFonts w:eastAsia="Calibri" w:cs="Arial"/>
                <w:szCs w:val="20"/>
                <w:lang w:val="en-US"/>
              </w:rPr>
              <w:t xml:space="preserve">be planted with species that are </w:t>
            </w:r>
            <w:proofErr w:type="spellStart"/>
            <w:r w:rsidRPr="00526799">
              <w:rPr>
                <w:rFonts w:eastAsia="Calibri" w:cs="Arial"/>
                <w:szCs w:val="20"/>
                <w:lang w:val="en-US"/>
              </w:rPr>
              <w:t>recognised</w:t>
            </w:r>
            <w:proofErr w:type="spellEnd"/>
            <w:r w:rsidRPr="00526799">
              <w:rPr>
                <w:rFonts w:eastAsia="Calibri" w:cs="Arial"/>
                <w:szCs w:val="20"/>
                <w:lang w:val="en-US"/>
              </w:rPr>
              <w:t xml:space="preserve"> as low maintenance and needing minimum </w:t>
            </w:r>
            <w:proofErr w:type="gramStart"/>
            <w:r w:rsidRPr="00526799">
              <w:rPr>
                <w:rFonts w:eastAsia="Calibri" w:cs="Arial"/>
                <w:szCs w:val="20"/>
                <w:lang w:val="en-US"/>
              </w:rPr>
              <w:t>water;</w:t>
            </w:r>
            <w:proofErr w:type="gramEnd"/>
          </w:p>
          <w:p w14:paraId="46C10296" w14:textId="77777777" w:rsidR="00526799" w:rsidRPr="00526799" w:rsidRDefault="00526799" w:rsidP="007F60B8">
            <w:pPr>
              <w:numPr>
                <w:ilvl w:val="0"/>
                <w:numId w:val="10"/>
              </w:numPr>
              <w:tabs>
                <w:tab w:val="left" w:pos="666"/>
                <w:tab w:val="left" w:pos="667"/>
              </w:tabs>
              <w:ind w:right="113"/>
              <w:jc w:val="both"/>
              <w:rPr>
                <w:rFonts w:eastAsia="Calibri" w:cs="Arial"/>
                <w:szCs w:val="20"/>
                <w:lang w:val="en-US"/>
              </w:rPr>
            </w:pPr>
            <w:r w:rsidRPr="00526799">
              <w:rPr>
                <w:rFonts w:eastAsia="Calibri" w:cs="Arial"/>
                <w:szCs w:val="20"/>
                <w:lang w:val="en-US"/>
              </w:rPr>
              <w:t>provided with suitable soils or soil conditioners to assist with growth; and</w:t>
            </w:r>
          </w:p>
          <w:p w14:paraId="758D1ED0" w14:textId="77777777" w:rsidR="00526799" w:rsidRPr="00526799" w:rsidRDefault="00526799" w:rsidP="007F60B8">
            <w:pPr>
              <w:numPr>
                <w:ilvl w:val="0"/>
                <w:numId w:val="10"/>
              </w:numPr>
              <w:ind w:right="113"/>
              <w:jc w:val="both"/>
              <w:rPr>
                <w:rFonts w:eastAsia="Calibri" w:cs="Arial"/>
                <w:b/>
                <w:szCs w:val="20"/>
                <w:lang w:val="en-US"/>
              </w:rPr>
            </w:pPr>
            <w:r w:rsidRPr="00526799">
              <w:rPr>
                <w:rFonts w:eastAsia="Calibri" w:cs="Arial"/>
                <w:szCs w:val="20"/>
                <w:lang w:val="en-US"/>
              </w:rPr>
              <w:t>provided with suitable mulch and watering systems.</w:t>
            </w:r>
          </w:p>
        </w:tc>
        <w:tc>
          <w:tcPr>
            <w:tcW w:w="4677" w:type="dxa"/>
          </w:tcPr>
          <w:p w14:paraId="41E40819" w14:textId="77777777" w:rsidR="00526799" w:rsidRPr="00526799" w:rsidRDefault="00526799" w:rsidP="007F60B8">
            <w:pPr>
              <w:ind w:left="113" w:right="113"/>
              <w:jc w:val="both"/>
              <w:rPr>
                <w:rFonts w:eastAsia="Calibri" w:cs="Arial"/>
                <w:b/>
                <w:szCs w:val="20"/>
                <w:lang w:val="en-US"/>
              </w:rPr>
            </w:pPr>
            <w:r w:rsidRPr="00526799">
              <w:rPr>
                <w:rFonts w:eastAsia="Calibri" w:cs="Arial"/>
                <w:b/>
                <w:szCs w:val="20"/>
                <w:lang w:val="en-US"/>
              </w:rPr>
              <w:t>AO16</w:t>
            </w:r>
          </w:p>
          <w:p w14:paraId="64178EB5" w14:textId="77777777" w:rsidR="00526799" w:rsidRPr="00526799" w:rsidRDefault="00526799" w:rsidP="007F60B8">
            <w:pPr>
              <w:ind w:left="113" w:right="113"/>
              <w:jc w:val="both"/>
              <w:rPr>
                <w:rFonts w:eastAsia="Calibri" w:cs="Arial"/>
                <w:b/>
                <w:szCs w:val="20"/>
                <w:lang w:val="en-US"/>
              </w:rPr>
            </w:pPr>
            <w:r w:rsidRPr="00526799">
              <w:rPr>
                <w:rFonts w:eastAsia="Calibri" w:cs="Arial"/>
                <w:szCs w:val="20"/>
                <w:lang w:val="en-US"/>
              </w:rPr>
              <w:t xml:space="preserve">Landscaping is undertaken in accordance with </w:t>
            </w:r>
            <w:r w:rsidRPr="00526799">
              <w:rPr>
                <w:rFonts w:eastAsia="Calibri" w:cs="Arial"/>
                <w:b/>
                <w:szCs w:val="20"/>
                <w:lang w:val="en-US"/>
              </w:rPr>
              <w:t>SC6.2 – Design and Construction Standards</w:t>
            </w:r>
            <w:r w:rsidRPr="00526799">
              <w:rPr>
                <w:rFonts w:eastAsia="Calibri" w:cs="Arial"/>
                <w:szCs w:val="20"/>
                <w:lang w:val="en-US"/>
              </w:rPr>
              <w:t>.</w:t>
            </w:r>
          </w:p>
        </w:tc>
        <w:tc>
          <w:tcPr>
            <w:tcW w:w="6804" w:type="dxa"/>
          </w:tcPr>
          <w:p w14:paraId="6F7CF0AE" w14:textId="77777777" w:rsidR="00526799" w:rsidRPr="00526799" w:rsidRDefault="00526799" w:rsidP="00526799">
            <w:pPr>
              <w:ind w:left="113" w:right="113"/>
              <w:rPr>
                <w:rFonts w:eastAsia="Calibri" w:cs="Arial"/>
                <w:b/>
                <w:szCs w:val="20"/>
                <w:lang w:val="en-US"/>
              </w:rPr>
            </w:pPr>
          </w:p>
        </w:tc>
      </w:tr>
    </w:tbl>
    <w:p w14:paraId="55271E0D" w14:textId="77777777" w:rsidR="00526799" w:rsidRPr="00526799" w:rsidRDefault="00526799" w:rsidP="00526799">
      <w:pPr>
        <w:rPr>
          <w:rFonts w:eastAsia="Calibri" w:cs="Arial"/>
          <w:szCs w:val="20"/>
          <w:lang w:val="en-US"/>
        </w:rPr>
      </w:pPr>
    </w:p>
    <w:p w14:paraId="58B8C598" w14:textId="51CCD049" w:rsidR="00526799" w:rsidRPr="00526799" w:rsidRDefault="00526799" w:rsidP="00526799">
      <w:pPr>
        <w:ind w:left="567" w:hanging="567"/>
        <w:rPr>
          <w:rFonts w:eastAsia="Calibri" w:cs="Arial"/>
          <w:bCs/>
          <w:szCs w:val="24"/>
          <w:lang w:val="en-US"/>
        </w:rPr>
      </w:pPr>
    </w:p>
    <w:p w14:paraId="50ACBCFB" w14:textId="77777777" w:rsidR="009037DE" w:rsidRPr="009037DE" w:rsidRDefault="009037DE" w:rsidP="009037DE">
      <w:pPr>
        <w:tabs>
          <w:tab w:val="left" w:pos="3271"/>
        </w:tabs>
      </w:pPr>
    </w:p>
    <w:sectPr w:rsidR="009037DE" w:rsidRPr="009037DE" w:rsidSect="00BA6927">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FEE4" w14:textId="77777777" w:rsidR="00094283" w:rsidRDefault="00094283" w:rsidP="00BA6927">
      <w:r>
        <w:separator/>
      </w:r>
    </w:p>
  </w:endnote>
  <w:endnote w:type="continuationSeparator" w:id="0">
    <w:p w14:paraId="54F71474" w14:textId="77777777" w:rsidR="00094283" w:rsidRDefault="00094283" w:rsidP="00BA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E6E3" w14:textId="45BE0BAE" w:rsidR="00BA6927" w:rsidRDefault="00BA6927">
    <w:pPr>
      <w:pStyle w:val="Footer"/>
      <w:rPr>
        <w:rStyle w:val="normaltextrun"/>
        <w:rFonts w:cs="Arial"/>
        <w:color w:val="000000"/>
        <w:szCs w:val="20"/>
        <w:shd w:val="clear" w:color="auto" w:fill="FFFFFF"/>
      </w:rPr>
    </w:pPr>
    <w:r>
      <w:rPr>
        <w:rStyle w:val="normaltextrun"/>
        <w:rFonts w:cs="Arial"/>
        <w:color w:val="000000"/>
        <w:szCs w:val="20"/>
        <w:shd w:val="clear" w:color="auto" w:fill="FFFFFF"/>
      </w:rPr>
      <w:t>Western Downs Planning Scheme 2017 incorporating Amendment 2</w:t>
    </w:r>
  </w:p>
  <w:p w14:paraId="30CFB4A0" w14:textId="2B51222A" w:rsidR="00BA6927" w:rsidRDefault="00BA6927">
    <w:pPr>
      <w:pStyle w:val="Footer"/>
    </w:pPr>
    <w:r>
      <w:rPr>
        <w:rStyle w:val="wacimagecontainer"/>
        <w:rFonts w:ascii="Segoe UI" w:hAnsi="Segoe UI" w:cs="Segoe UI"/>
        <w:noProof/>
        <w:color w:val="000000"/>
        <w:sz w:val="18"/>
        <w:szCs w:val="18"/>
        <w:shd w:val="clear" w:color="auto" w:fill="FFFFFF"/>
      </w:rPr>
      <w:drawing>
        <wp:inline distT="0" distB="0" distL="0" distR="0" wp14:anchorId="6298646C" wp14:editId="2C40DB9E">
          <wp:extent cx="9779000" cy="2891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0" cy="289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2E44" w14:textId="77777777" w:rsidR="00094283" w:rsidRDefault="00094283" w:rsidP="00BA6927">
      <w:r>
        <w:separator/>
      </w:r>
    </w:p>
  </w:footnote>
  <w:footnote w:type="continuationSeparator" w:id="0">
    <w:p w14:paraId="322C6216" w14:textId="77777777" w:rsidR="00094283" w:rsidRDefault="00094283" w:rsidP="00BA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C89C" w14:textId="33FB80B6" w:rsidR="00BA6927" w:rsidRPr="008052EA" w:rsidRDefault="00BA6927">
    <w:pPr>
      <w:pStyle w:val="Header"/>
      <w:rPr>
        <w:b/>
        <w:bCs/>
      </w:rPr>
    </w:pPr>
    <w:r w:rsidRPr="001E3D45">
      <w:rPr>
        <w:noProof/>
      </w:rPr>
      <w:drawing>
        <wp:inline distT="0" distB="0" distL="0" distR="0" wp14:anchorId="0283F423" wp14:editId="1B399704">
          <wp:extent cx="723265" cy="954405"/>
          <wp:effectExtent l="0" t="0" r="635" b="0"/>
          <wp:docPr id="108072222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54405"/>
                  </a:xfrm>
                  <a:prstGeom prst="rect">
                    <a:avLst/>
                  </a:prstGeom>
                  <a:noFill/>
                  <a:ln>
                    <a:noFill/>
                  </a:ln>
                </pic:spPr>
              </pic:pic>
            </a:graphicData>
          </a:graphic>
        </wp:inline>
      </w:drawing>
    </w:r>
    <w:r w:rsidRPr="001E3D45">
      <w:rPr>
        <w:b/>
        <w:bCs/>
        <w:i/>
        <w:iCs/>
      </w:rPr>
      <w:tab/>
    </w:r>
    <w:r w:rsidR="001E3D45" w:rsidRPr="008052EA">
      <w:rPr>
        <w:b/>
        <w:bCs/>
        <w:i/>
        <w:iCs/>
      </w:rPr>
      <w:t xml:space="preserve">Table </w:t>
    </w:r>
    <w:r w:rsidR="008D431C">
      <w:rPr>
        <w:b/>
        <w:bCs/>
        <w:i/>
        <w:iCs/>
      </w:rPr>
      <w:t>9</w:t>
    </w:r>
    <w:r w:rsidR="00194361" w:rsidRPr="008052EA">
      <w:rPr>
        <w:b/>
        <w:bCs/>
        <w:i/>
        <w:iCs/>
      </w:rPr>
      <w:t>.</w:t>
    </w:r>
    <w:r w:rsidR="00810EBF">
      <w:rPr>
        <w:b/>
        <w:bCs/>
        <w:i/>
        <w:iCs/>
      </w:rPr>
      <w:t>3</w:t>
    </w:r>
    <w:r w:rsidR="00194361" w:rsidRPr="008052EA">
      <w:rPr>
        <w:b/>
        <w:bCs/>
        <w:i/>
        <w:iCs/>
      </w:rPr>
      <w:t>.</w:t>
    </w:r>
    <w:r w:rsidR="00810EBF">
      <w:rPr>
        <w:b/>
        <w:bCs/>
        <w:i/>
        <w:iCs/>
      </w:rPr>
      <w:t>3</w:t>
    </w:r>
    <w:r w:rsidR="00194361" w:rsidRPr="008052EA">
      <w:rPr>
        <w:b/>
        <w:bCs/>
        <w:i/>
        <w:iCs/>
      </w:rPr>
      <w:t xml:space="preserve">.1 </w:t>
    </w:r>
    <w:r w:rsidR="00810EBF">
      <w:rPr>
        <w:b/>
        <w:bCs/>
        <w:i/>
        <w:iCs/>
      </w:rPr>
      <w:t xml:space="preserve">Operational Work </w:t>
    </w:r>
    <w:r w:rsidRPr="008052EA">
      <w:rPr>
        <w:b/>
        <w:bCs/>
        <w:i/>
        <w:iCs/>
      </w:rPr>
      <w:t>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B96"/>
    <w:multiLevelType w:val="hybridMultilevel"/>
    <w:tmpl w:val="C6FAE120"/>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 w15:restartNumberingAfterBreak="0">
    <w:nsid w:val="31E02B75"/>
    <w:multiLevelType w:val="hybridMultilevel"/>
    <w:tmpl w:val="A92CB004"/>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 w15:restartNumberingAfterBreak="0">
    <w:nsid w:val="363B4297"/>
    <w:multiLevelType w:val="hybridMultilevel"/>
    <w:tmpl w:val="D35ABECE"/>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3D453AB3"/>
    <w:multiLevelType w:val="hybridMultilevel"/>
    <w:tmpl w:val="23B2DE22"/>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 w15:restartNumberingAfterBreak="0">
    <w:nsid w:val="3EF5043C"/>
    <w:multiLevelType w:val="hybridMultilevel"/>
    <w:tmpl w:val="1EC27114"/>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43F0214A"/>
    <w:multiLevelType w:val="hybridMultilevel"/>
    <w:tmpl w:val="ABA8D326"/>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6" w15:restartNumberingAfterBreak="0">
    <w:nsid w:val="4A1A135C"/>
    <w:multiLevelType w:val="hybridMultilevel"/>
    <w:tmpl w:val="DCD8D244"/>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6526259E"/>
    <w:multiLevelType w:val="hybridMultilevel"/>
    <w:tmpl w:val="C0AC2C5A"/>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695352BA"/>
    <w:multiLevelType w:val="hybridMultilevel"/>
    <w:tmpl w:val="D0E43650"/>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9" w15:restartNumberingAfterBreak="0">
    <w:nsid w:val="7E030107"/>
    <w:multiLevelType w:val="hybridMultilevel"/>
    <w:tmpl w:val="370AF744"/>
    <w:lvl w:ilvl="0" w:tplc="AEEE8576">
      <w:start w:val="1"/>
      <w:numFmt w:val="lowerLetter"/>
      <w:lvlText w:val="(%1)"/>
      <w:lvlJc w:val="left"/>
      <w:pPr>
        <w:ind w:left="473" w:hanging="360"/>
      </w:pPr>
      <w:rPr>
        <w:rFonts w:ascii="Arial" w:eastAsia="Arial" w:hAnsi="Arial" w:cs="Arial" w:hint="default"/>
        <w:b w:val="0"/>
        <w:bCs w:val="0"/>
        <w:i w:val="0"/>
        <w:iCs w:val="0"/>
        <w:spacing w:val="-1"/>
        <w:w w:val="100"/>
        <w:sz w:val="20"/>
        <w:szCs w:val="22"/>
        <w:lang w:val="en-US" w:eastAsia="en-US" w:bidi="ar-SA"/>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1405908118">
    <w:abstractNumId w:val="9"/>
  </w:num>
  <w:num w:numId="2" w16cid:durableId="1488283119">
    <w:abstractNumId w:val="4"/>
  </w:num>
  <w:num w:numId="3" w16cid:durableId="1363090495">
    <w:abstractNumId w:val="6"/>
  </w:num>
  <w:num w:numId="4" w16cid:durableId="1126850935">
    <w:abstractNumId w:val="7"/>
  </w:num>
  <w:num w:numId="5" w16cid:durableId="433601120">
    <w:abstractNumId w:val="3"/>
  </w:num>
  <w:num w:numId="6" w16cid:durableId="912204123">
    <w:abstractNumId w:val="8"/>
  </w:num>
  <w:num w:numId="7" w16cid:durableId="1650669038">
    <w:abstractNumId w:val="2"/>
  </w:num>
  <w:num w:numId="8" w16cid:durableId="1254709457">
    <w:abstractNumId w:val="0"/>
  </w:num>
  <w:num w:numId="9" w16cid:durableId="139426972">
    <w:abstractNumId w:val="5"/>
  </w:num>
  <w:num w:numId="10" w16cid:durableId="112119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27"/>
    <w:rsid w:val="00020E4B"/>
    <w:rsid w:val="000616A5"/>
    <w:rsid w:val="00077D1E"/>
    <w:rsid w:val="00094283"/>
    <w:rsid w:val="000A6E58"/>
    <w:rsid w:val="001106FF"/>
    <w:rsid w:val="00110C7B"/>
    <w:rsid w:val="00164528"/>
    <w:rsid w:val="00187F1B"/>
    <w:rsid w:val="00192298"/>
    <w:rsid w:val="00194361"/>
    <w:rsid w:val="001E3D45"/>
    <w:rsid w:val="002104C4"/>
    <w:rsid w:val="0023056D"/>
    <w:rsid w:val="00231BAD"/>
    <w:rsid w:val="002324CE"/>
    <w:rsid w:val="00261828"/>
    <w:rsid w:val="002B2F7E"/>
    <w:rsid w:val="002C6F4E"/>
    <w:rsid w:val="002D4E21"/>
    <w:rsid w:val="00357D0F"/>
    <w:rsid w:val="00366E94"/>
    <w:rsid w:val="003B4656"/>
    <w:rsid w:val="003B744D"/>
    <w:rsid w:val="003C58FD"/>
    <w:rsid w:val="003E6F49"/>
    <w:rsid w:val="00412F7A"/>
    <w:rsid w:val="00464A66"/>
    <w:rsid w:val="00484CE2"/>
    <w:rsid w:val="004B0547"/>
    <w:rsid w:val="004B547C"/>
    <w:rsid w:val="004D643A"/>
    <w:rsid w:val="004E7047"/>
    <w:rsid w:val="004F6B37"/>
    <w:rsid w:val="00526799"/>
    <w:rsid w:val="005374C8"/>
    <w:rsid w:val="005562A0"/>
    <w:rsid w:val="00556713"/>
    <w:rsid w:val="005A5523"/>
    <w:rsid w:val="005B2438"/>
    <w:rsid w:val="005B7742"/>
    <w:rsid w:val="005D178C"/>
    <w:rsid w:val="00633569"/>
    <w:rsid w:val="006519C1"/>
    <w:rsid w:val="006740D2"/>
    <w:rsid w:val="0067712A"/>
    <w:rsid w:val="006A298E"/>
    <w:rsid w:val="006F353D"/>
    <w:rsid w:val="007113DB"/>
    <w:rsid w:val="00714069"/>
    <w:rsid w:val="00742DDF"/>
    <w:rsid w:val="00750CDC"/>
    <w:rsid w:val="007524E9"/>
    <w:rsid w:val="00753870"/>
    <w:rsid w:val="007925D7"/>
    <w:rsid w:val="007E3B71"/>
    <w:rsid w:val="007F60B8"/>
    <w:rsid w:val="00802170"/>
    <w:rsid w:val="0080305B"/>
    <w:rsid w:val="008052EA"/>
    <w:rsid w:val="00810EBF"/>
    <w:rsid w:val="00814221"/>
    <w:rsid w:val="008241F5"/>
    <w:rsid w:val="00824C7E"/>
    <w:rsid w:val="00827039"/>
    <w:rsid w:val="00866D6D"/>
    <w:rsid w:val="00880E33"/>
    <w:rsid w:val="008B3915"/>
    <w:rsid w:val="008D2A89"/>
    <w:rsid w:val="008D431C"/>
    <w:rsid w:val="008D47F8"/>
    <w:rsid w:val="009037DE"/>
    <w:rsid w:val="009A5A2A"/>
    <w:rsid w:val="009A5ACA"/>
    <w:rsid w:val="009C687D"/>
    <w:rsid w:val="009E4054"/>
    <w:rsid w:val="009F3FE7"/>
    <w:rsid w:val="00A52AC8"/>
    <w:rsid w:val="00A92303"/>
    <w:rsid w:val="00AA0686"/>
    <w:rsid w:val="00AB31D0"/>
    <w:rsid w:val="00AD6ABF"/>
    <w:rsid w:val="00B25AB5"/>
    <w:rsid w:val="00B425EA"/>
    <w:rsid w:val="00B94772"/>
    <w:rsid w:val="00BA6927"/>
    <w:rsid w:val="00BC028A"/>
    <w:rsid w:val="00BC3AA4"/>
    <w:rsid w:val="00C1751C"/>
    <w:rsid w:val="00C43A90"/>
    <w:rsid w:val="00C63355"/>
    <w:rsid w:val="00C64B55"/>
    <w:rsid w:val="00C8661D"/>
    <w:rsid w:val="00C97543"/>
    <w:rsid w:val="00D007B5"/>
    <w:rsid w:val="00D404A0"/>
    <w:rsid w:val="00D50402"/>
    <w:rsid w:val="00D96C62"/>
    <w:rsid w:val="00E31CD9"/>
    <w:rsid w:val="00E372E7"/>
    <w:rsid w:val="00E54210"/>
    <w:rsid w:val="00EE7D5C"/>
    <w:rsid w:val="00F25667"/>
    <w:rsid w:val="00F43AC7"/>
    <w:rsid w:val="00F474BD"/>
    <w:rsid w:val="00F55406"/>
    <w:rsid w:val="00FA5BF8"/>
    <w:rsid w:val="00FB2034"/>
    <w:rsid w:val="00FD08F6"/>
    <w:rsid w:val="00FE1ED3"/>
    <w:rsid w:val="00FE4C69"/>
    <w:rsid w:val="092ACC30"/>
    <w:rsid w:val="188775A3"/>
    <w:rsid w:val="36FE45F8"/>
    <w:rsid w:val="640B11E4"/>
    <w:rsid w:val="7CC76D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36AE"/>
  <w15:chartTrackingRefBased/>
  <w15:docId w15:val="{6F984F73-AF2B-4F61-A14E-97BBF743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39"/>
    <w:pPr>
      <w:spacing w:after="0" w:line="240" w:lineRule="auto"/>
    </w:pPr>
    <w:rPr>
      <w:rFonts w:ascii="Arial" w:hAnsi="Arial"/>
      <w:sz w:val="20"/>
    </w:rPr>
  </w:style>
  <w:style w:type="paragraph" w:styleId="Heading1">
    <w:name w:val="heading 1"/>
    <w:basedOn w:val="Normal"/>
    <w:next w:val="Normal"/>
    <w:link w:val="Heading1Char"/>
    <w:uiPriority w:val="9"/>
    <w:qFormat/>
    <w:rsid w:val="00556713"/>
    <w:pPr>
      <w:keepNext/>
      <w:keepLines/>
      <w:spacing w:before="480"/>
      <w:outlineLvl w:val="0"/>
    </w:pPr>
    <w:rPr>
      <w:rFonts w:eastAsiaTheme="majorEastAsia" w:cstheme="majorBidi"/>
      <w:b/>
      <w:bCs/>
      <w:i/>
      <w:sz w:val="28"/>
      <w:szCs w:val="28"/>
    </w:rPr>
  </w:style>
  <w:style w:type="paragraph" w:styleId="Heading2">
    <w:name w:val="heading 2"/>
    <w:basedOn w:val="Normal"/>
    <w:next w:val="Normal"/>
    <w:link w:val="Heading2Char"/>
    <w:uiPriority w:val="9"/>
    <w:unhideWhenUsed/>
    <w:qFormat/>
    <w:rsid w:val="00556713"/>
    <w:pPr>
      <w:keepNext/>
      <w:keepLines/>
      <w:spacing w:before="24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556713"/>
    <w:pPr>
      <w:keepNext/>
      <w:keepLines/>
      <w:spacing w:before="200"/>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rsid w:val="00BA692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692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A69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9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9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9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713"/>
    <w:pPr>
      <w:spacing w:after="0" w:line="240" w:lineRule="auto"/>
    </w:pPr>
  </w:style>
  <w:style w:type="character" w:customStyle="1" w:styleId="Heading1Char">
    <w:name w:val="Heading 1 Char"/>
    <w:basedOn w:val="DefaultParagraphFont"/>
    <w:link w:val="Heading1"/>
    <w:uiPriority w:val="9"/>
    <w:rsid w:val="00556713"/>
    <w:rPr>
      <w:rFonts w:ascii="Arial" w:eastAsiaTheme="majorEastAsia" w:hAnsi="Arial" w:cstheme="majorBidi"/>
      <w:b/>
      <w:bCs/>
      <w:i/>
      <w:sz w:val="28"/>
      <w:szCs w:val="28"/>
    </w:rPr>
  </w:style>
  <w:style w:type="character" w:customStyle="1" w:styleId="Heading2Char">
    <w:name w:val="Heading 2 Char"/>
    <w:basedOn w:val="DefaultParagraphFont"/>
    <w:link w:val="Heading2"/>
    <w:uiPriority w:val="9"/>
    <w:rsid w:val="00556713"/>
    <w:rPr>
      <w:rFonts w:ascii="Arial" w:eastAsiaTheme="majorEastAsia" w:hAnsi="Arial" w:cstheme="majorBidi"/>
      <w:b/>
      <w:bCs/>
      <w:szCs w:val="26"/>
    </w:rPr>
  </w:style>
  <w:style w:type="paragraph" w:styleId="Title">
    <w:name w:val="Title"/>
    <w:basedOn w:val="Normal"/>
    <w:next w:val="Normal"/>
    <w:link w:val="TitleChar"/>
    <w:uiPriority w:val="10"/>
    <w:qFormat/>
    <w:rsid w:val="005567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6713"/>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556713"/>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BA6927"/>
    <w:rPr>
      <w:rFonts w:eastAsiaTheme="majorEastAsia" w:cstheme="majorBidi"/>
      <w:i/>
      <w:iCs/>
      <w:color w:val="365F91" w:themeColor="accent1" w:themeShade="BF"/>
      <w:sz w:val="20"/>
    </w:rPr>
  </w:style>
  <w:style w:type="character" w:customStyle="1" w:styleId="Heading5Char">
    <w:name w:val="Heading 5 Char"/>
    <w:basedOn w:val="DefaultParagraphFont"/>
    <w:link w:val="Heading5"/>
    <w:uiPriority w:val="9"/>
    <w:semiHidden/>
    <w:rsid w:val="00BA6927"/>
    <w:rPr>
      <w:rFonts w:eastAsiaTheme="majorEastAsia" w:cstheme="majorBidi"/>
      <w:color w:val="365F91" w:themeColor="accent1" w:themeShade="BF"/>
      <w:sz w:val="20"/>
    </w:rPr>
  </w:style>
  <w:style w:type="character" w:customStyle="1" w:styleId="Heading6Char">
    <w:name w:val="Heading 6 Char"/>
    <w:basedOn w:val="DefaultParagraphFont"/>
    <w:link w:val="Heading6"/>
    <w:uiPriority w:val="9"/>
    <w:semiHidden/>
    <w:rsid w:val="00BA6927"/>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BA6927"/>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BA6927"/>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BA6927"/>
    <w:rPr>
      <w:rFonts w:eastAsiaTheme="majorEastAsia" w:cstheme="majorBidi"/>
      <w:color w:val="272727" w:themeColor="text1" w:themeTint="D8"/>
      <w:sz w:val="20"/>
    </w:rPr>
  </w:style>
  <w:style w:type="paragraph" w:styleId="Subtitle">
    <w:name w:val="Subtitle"/>
    <w:basedOn w:val="Normal"/>
    <w:next w:val="Normal"/>
    <w:link w:val="SubtitleChar"/>
    <w:uiPriority w:val="11"/>
    <w:qFormat/>
    <w:rsid w:val="00BA69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927"/>
    <w:rPr>
      <w:rFonts w:ascii="Arial" w:hAnsi="Arial"/>
      <w:i/>
      <w:iCs/>
      <w:color w:val="404040" w:themeColor="text1" w:themeTint="BF"/>
      <w:sz w:val="20"/>
    </w:rPr>
  </w:style>
  <w:style w:type="paragraph" w:styleId="ListParagraph">
    <w:name w:val="List Paragraph"/>
    <w:basedOn w:val="Normal"/>
    <w:uiPriority w:val="34"/>
    <w:qFormat/>
    <w:rsid w:val="00BA6927"/>
    <w:pPr>
      <w:ind w:left="720"/>
      <w:contextualSpacing/>
    </w:pPr>
  </w:style>
  <w:style w:type="character" w:styleId="IntenseEmphasis">
    <w:name w:val="Intense Emphasis"/>
    <w:basedOn w:val="DefaultParagraphFont"/>
    <w:uiPriority w:val="21"/>
    <w:qFormat/>
    <w:rsid w:val="00BA6927"/>
    <w:rPr>
      <w:i/>
      <w:iCs/>
      <w:color w:val="365F91" w:themeColor="accent1" w:themeShade="BF"/>
    </w:rPr>
  </w:style>
  <w:style w:type="paragraph" w:styleId="IntenseQuote">
    <w:name w:val="Intense Quote"/>
    <w:basedOn w:val="Normal"/>
    <w:next w:val="Normal"/>
    <w:link w:val="IntenseQuoteChar"/>
    <w:uiPriority w:val="30"/>
    <w:qFormat/>
    <w:rsid w:val="00BA69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927"/>
    <w:rPr>
      <w:rFonts w:ascii="Arial" w:hAnsi="Arial"/>
      <w:i/>
      <w:iCs/>
      <w:color w:val="365F91" w:themeColor="accent1" w:themeShade="BF"/>
      <w:sz w:val="20"/>
    </w:rPr>
  </w:style>
  <w:style w:type="character" w:styleId="IntenseReference">
    <w:name w:val="Intense Reference"/>
    <w:basedOn w:val="DefaultParagraphFont"/>
    <w:uiPriority w:val="32"/>
    <w:qFormat/>
    <w:rsid w:val="00BA6927"/>
    <w:rPr>
      <w:b/>
      <w:bCs/>
      <w:smallCaps/>
      <w:color w:val="365F91" w:themeColor="accent1" w:themeShade="BF"/>
      <w:spacing w:val="5"/>
    </w:rPr>
  </w:style>
  <w:style w:type="paragraph" w:styleId="Header">
    <w:name w:val="header"/>
    <w:basedOn w:val="Normal"/>
    <w:link w:val="HeaderChar"/>
    <w:uiPriority w:val="99"/>
    <w:unhideWhenUsed/>
    <w:rsid w:val="00BA6927"/>
    <w:pPr>
      <w:tabs>
        <w:tab w:val="center" w:pos="4513"/>
        <w:tab w:val="right" w:pos="9026"/>
      </w:tabs>
    </w:pPr>
  </w:style>
  <w:style w:type="character" w:customStyle="1" w:styleId="HeaderChar">
    <w:name w:val="Header Char"/>
    <w:basedOn w:val="DefaultParagraphFont"/>
    <w:link w:val="Header"/>
    <w:uiPriority w:val="99"/>
    <w:rsid w:val="00BA6927"/>
    <w:rPr>
      <w:rFonts w:ascii="Arial" w:hAnsi="Arial"/>
      <w:sz w:val="20"/>
    </w:rPr>
  </w:style>
  <w:style w:type="paragraph" w:styleId="Footer">
    <w:name w:val="footer"/>
    <w:basedOn w:val="Normal"/>
    <w:link w:val="FooterChar"/>
    <w:uiPriority w:val="99"/>
    <w:unhideWhenUsed/>
    <w:rsid w:val="00BA6927"/>
    <w:pPr>
      <w:tabs>
        <w:tab w:val="center" w:pos="4513"/>
        <w:tab w:val="right" w:pos="9026"/>
      </w:tabs>
    </w:pPr>
  </w:style>
  <w:style w:type="character" w:customStyle="1" w:styleId="FooterChar">
    <w:name w:val="Footer Char"/>
    <w:basedOn w:val="DefaultParagraphFont"/>
    <w:link w:val="Footer"/>
    <w:uiPriority w:val="99"/>
    <w:rsid w:val="00BA6927"/>
    <w:rPr>
      <w:rFonts w:ascii="Arial" w:hAnsi="Arial"/>
      <w:sz w:val="20"/>
    </w:rPr>
  </w:style>
  <w:style w:type="character" w:customStyle="1" w:styleId="normaltextrun">
    <w:name w:val="normaltextrun"/>
    <w:basedOn w:val="DefaultParagraphFont"/>
    <w:rsid w:val="00BA6927"/>
  </w:style>
  <w:style w:type="character" w:customStyle="1" w:styleId="wacimagecontainer">
    <w:name w:val="wacimagecontainer"/>
    <w:basedOn w:val="DefaultParagraphFont"/>
    <w:rsid w:val="00BA6927"/>
  </w:style>
  <w:style w:type="paragraph" w:customStyle="1" w:styleId="TableParagraph">
    <w:name w:val="Table Paragraph"/>
    <w:basedOn w:val="Normal"/>
    <w:uiPriority w:val="1"/>
    <w:qFormat/>
    <w:rsid w:val="00A52AC8"/>
    <w:rPr>
      <w:rFonts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94925">
      <w:bodyDiv w:val="1"/>
      <w:marLeft w:val="0"/>
      <w:marRight w:val="0"/>
      <w:marTop w:val="0"/>
      <w:marBottom w:val="0"/>
      <w:divBdr>
        <w:top w:val="none" w:sz="0" w:space="0" w:color="auto"/>
        <w:left w:val="none" w:sz="0" w:space="0" w:color="auto"/>
        <w:bottom w:val="none" w:sz="0" w:space="0" w:color="auto"/>
        <w:right w:val="none" w:sz="0" w:space="0" w:color="auto"/>
      </w:divBdr>
      <w:divsChild>
        <w:div w:id="854612817">
          <w:marLeft w:val="0"/>
          <w:marRight w:val="0"/>
          <w:marTop w:val="0"/>
          <w:marBottom w:val="0"/>
          <w:divBdr>
            <w:top w:val="none" w:sz="0" w:space="0" w:color="auto"/>
            <w:left w:val="none" w:sz="0" w:space="0" w:color="auto"/>
            <w:bottom w:val="none" w:sz="0" w:space="0" w:color="auto"/>
            <w:right w:val="none" w:sz="0" w:space="0" w:color="auto"/>
          </w:divBdr>
        </w:div>
        <w:div w:id="148769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bf4ee4791094b10ba45d2a6b8881eab xmlns="http://schemas.microsoft.com/sharepoint/v3">
      <Terms xmlns="http://schemas.microsoft.com/office/infopath/2007/PartnerControls"/>
    </fbf4ee4791094b10ba45d2a6b8881eab>
    <e458bd969d554ede9f96bc7654b3db2e xmlns="http://schemas.microsoft.com/sharepoint/v3">
      <Terms xmlns="http://schemas.microsoft.com/office/infopath/2007/PartnerControls"/>
    </e458bd969d554ede9f96bc7654b3db2e>
    <lcf76f155ced4ddcb4097134ff3c332f xmlns="a2020b65-9c0b-4b74-9182-9ff215772a0c">
      <Terms xmlns="http://schemas.microsoft.com/office/infopath/2007/PartnerControls"/>
    </lcf76f155ced4ddcb4097134ff3c332f>
    <TaxCatchAll xmlns="a5185c80-ba22-46da-a0c3-f76a6db09c0b" xsi:nil="true"/>
    <paef67daf2524f57a34527d2b9b6924f xmlns="a5185c80-ba22-46da-a0c3-f76a6db09c0b">
      <Terms xmlns="http://schemas.microsoft.com/office/infopath/2007/PartnerControls"/>
    </paef67daf2524f57a34527d2b9b6924f>
    <ac4d8d4edc4e4bbc96ea6d742262e422 xmlns="http://schemas.microsoft.com/sharepoint/v3">
      <Terms xmlns="http://schemas.microsoft.com/office/infopath/2007/PartnerControls"/>
    </ac4d8d4edc4e4bbc96ea6d742262e422>
    <n154bfaa042446e1873c36b030d96572 xmlns="http://schemas.microsoft.com/sharepoint/v3">
      <Terms xmlns="http://schemas.microsoft.com/office/infopath/2007/PartnerControls"/>
    </n154bfaa042446e1873c36b030d96572>
    <g072d901cdbd4c0daa50c2b9827649ed xmlns="http://schemas.microsoft.com/sharepoint/v3">
      <Terms xmlns="http://schemas.microsoft.com/office/infopath/2007/PartnerControls"/>
    </g072d901cdbd4c0daa50c2b9827649ed>
    <a06e593cb8d4461091199b17c33719a2 xmlns="http://schemas.microsoft.com/sharepoint/v3">
      <Terms xmlns="http://schemas.microsoft.com/office/infopath/2007/PartnerControls"/>
    </a06e593cb8d4461091199b17c33719a2>
    <o7fc12a2bb3d48bc9154e8faf39155f7 xmlns="http://schemas.microsoft.com/sharepoint/v3">
      <Terms xmlns="http://schemas.microsoft.com/office/infopath/2007/PartnerControls"/>
    </o7fc12a2bb3d48bc9154e8faf39155f7>
  </documentManagement>
</p:properties>
</file>

<file path=customXml/item2.xml><?xml version="1.0" encoding="utf-8"?>
<ct:contentTypeSchema xmlns:ct="http://schemas.microsoft.com/office/2006/metadata/contentType" xmlns:ma="http://schemas.microsoft.com/office/2006/metadata/properties/metaAttributes" ct:_="" ma:_="" ma:contentTypeName="WDRC Document" ma:contentTypeID="0x010100203655BA52479242887340A5387A6136002EF9F6DE6B45144187D24C0096D5AC9D" ma:contentTypeVersion="27" ma:contentTypeDescription="Create a WDRC document" ma:contentTypeScope="" ma:versionID="e112b25b2d83b44ac1d10e604b455347">
  <xsd:schema xmlns:xsd="http://www.w3.org/2001/XMLSchema" xmlns:xs="http://www.w3.org/2001/XMLSchema" xmlns:p="http://schemas.microsoft.com/office/2006/metadata/properties" xmlns:ns1="http://schemas.microsoft.com/sharepoint/v3" xmlns:ns2="a5185c80-ba22-46da-a0c3-f76a6db09c0b" xmlns:ns3="a2020b65-9c0b-4b74-9182-9ff215772a0c" targetNamespace="http://schemas.microsoft.com/office/2006/metadata/properties" ma:root="true" ma:fieldsID="7d2ffd7954979897a8ed820a1f377e06" ns1:_="" ns2:_="" ns3:_="">
    <xsd:import namespace="http://schemas.microsoft.com/sharepoint/v3"/>
    <xsd:import namespace="a5185c80-ba22-46da-a0c3-f76a6db09c0b"/>
    <xsd:import namespace="a2020b65-9c0b-4b74-9182-9ff215772a0c"/>
    <xsd:element name="properties">
      <xsd:complexType>
        <xsd:sequence>
          <xsd:element name="documentManagement">
            <xsd:complexType>
              <xsd:all>
                <xsd:element ref="ns1:e458bd969d554ede9f96bc7654b3db2e" minOccurs="0"/>
                <xsd:element ref="ns2:TaxCatchAll" minOccurs="0"/>
                <xsd:element ref="ns2:TaxCatchAllLabel" minOccurs="0"/>
                <xsd:element ref="ns1:o7fc12a2bb3d48bc9154e8faf39155f7" minOccurs="0"/>
                <xsd:element ref="ns1:g072d901cdbd4c0daa50c2b9827649ed" minOccurs="0"/>
                <xsd:element ref="ns1:fbf4ee4791094b10ba45d2a6b8881eab" minOccurs="0"/>
                <xsd:element ref="ns1:a06e593cb8d4461091199b17c33719a2" minOccurs="0"/>
                <xsd:element ref="ns1:ac4d8d4edc4e4bbc96ea6d742262e422" minOccurs="0"/>
                <xsd:element ref="ns1:n154bfaa042446e1873c36b030d96572" minOccurs="0"/>
                <xsd:element ref="ns2:paef67daf2524f57a34527d2b9b6924f"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458bd969d554ede9f96bc7654b3db2e" ma:index="8" nillable="true" ma:taxonomy="true" ma:internalName="e458bd969d554ede9f96bc7654b3db2e" ma:taxonomyFieldName="WDRCFunction" ma:displayName="WDRC Function" ma:default="" ma:fieldId="{e458bd96-9d55-4ede-9f96-bc7654b3db2e}" ma:sspId="fc5f5596-49e4-4d1b-8c17-782bd9155381" ma:termSetId="9ab2d43b-2e7d-4b79-aa23-f2c8bfc230c5" ma:anchorId="00000000-0000-0000-0000-000000000000" ma:open="false" ma:isKeyword="false">
      <xsd:complexType>
        <xsd:sequence>
          <xsd:element ref="pc:Terms" minOccurs="0" maxOccurs="1"/>
        </xsd:sequence>
      </xsd:complexType>
    </xsd:element>
    <xsd:element name="o7fc12a2bb3d48bc9154e8faf39155f7" ma:index="12" nillable="true" ma:taxonomy="true" ma:internalName="o7fc12a2bb3d48bc9154e8faf39155f7" ma:taxonomyFieldName="WDRCLocation" ma:displayName="WDRC Location" ma:default="" ma:fieldId="{87fc12a2-bb3d-48bc-9154-e8faf39155f7}" ma:sspId="fc5f5596-49e4-4d1b-8c17-782bd9155381" ma:termSetId="04d6061a-27c4-4f81-b243-cd52dd5858b0" ma:anchorId="00000000-0000-0000-0000-000000000000" ma:open="false" ma:isKeyword="false">
      <xsd:complexType>
        <xsd:sequence>
          <xsd:element ref="pc:Terms" minOccurs="0" maxOccurs="1"/>
        </xsd:sequence>
      </xsd:complexType>
    </xsd:element>
    <xsd:element name="g072d901cdbd4c0daa50c2b9827649ed" ma:index="14" nillable="true" ma:taxonomy="true" ma:internalName="g072d901cdbd4c0daa50c2b9827649ed" ma:taxonomyFieldName="WDRCTopic" ma:displayName="Topic" ma:default="" ma:fieldId="{0072d901-cdbd-4c0d-aa50-c2b9827649ed}" ma:sspId="fc5f5596-49e4-4d1b-8c17-782bd9155381" ma:termSetId="58c1fa3e-f019-40fa-a4ea-363ae0b4cded" ma:anchorId="00000000-0000-0000-0000-000000000000" ma:open="false" ma:isKeyword="false">
      <xsd:complexType>
        <xsd:sequence>
          <xsd:element ref="pc:Terms" minOccurs="0" maxOccurs="1"/>
        </xsd:sequence>
      </xsd:complexType>
    </xsd:element>
    <xsd:element name="fbf4ee4791094b10ba45d2a6b8881eab" ma:index="16" nillable="true" ma:taxonomy="true" ma:internalName="fbf4ee4791094b10ba45d2a6b8881eab" ma:taxonomyFieldName="WDRCTeam" ma:displayName="WDRC Team" ma:default="" ma:fieldId="{fbf4ee47-9109-4b10-ba45-d2a6b8881eab}" ma:sspId="fc5f5596-49e4-4d1b-8c17-782bd9155381" ma:termSetId="cc5e43f6-e657-417e-9378-17d853386c56" ma:anchorId="00000000-0000-0000-0000-000000000000" ma:open="false" ma:isKeyword="false">
      <xsd:complexType>
        <xsd:sequence>
          <xsd:element ref="pc:Terms" minOccurs="0" maxOccurs="1"/>
        </xsd:sequence>
      </xsd:complexType>
    </xsd:element>
    <xsd:element name="a06e593cb8d4461091199b17c33719a2" ma:index="18" nillable="true" ma:taxonomy="true" ma:internalName="a06e593cb8d4461091199b17c33719a2" ma:taxonomyFieldName="WDRCDivision" ma:displayName="WDRC Division" ma:default="" ma:fieldId="{a06e593c-b8d4-4610-9119-9b17c33719a2}" ma:sspId="fc5f5596-49e4-4d1b-8c17-782bd9155381" ma:termSetId="50388798-186f-495e-8322-88644abe900a" ma:anchorId="00000000-0000-0000-0000-000000000000" ma:open="false" ma:isKeyword="false">
      <xsd:complexType>
        <xsd:sequence>
          <xsd:element ref="pc:Terms" minOccurs="0" maxOccurs="1"/>
        </xsd:sequence>
      </xsd:complexType>
    </xsd:element>
    <xsd:element name="ac4d8d4edc4e4bbc96ea6d742262e422" ma:index="20" nillable="true" ma:taxonomy="true" ma:internalName="ac4d8d4edc4e4bbc96ea6d742262e422" ma:taxonomyFieldName="WDRCFinancialYear" ma:displayName="Financial Year" ma:default="" ma:fieldId="{ac4d8d4e-dc4e-4bbc-96ea-6d742262e422}" ma:sspId="fc5f5596-49e4-4d1b-8c17-782bd9155381" ma:termSetId="7040e64f-887f-4a10-8d51-a17e7d6a59b8" ma:anchorId="00000000-0000-0000-0000-000000000000" ma:open="false" ma:isKeyword="false">
      <xsd:complexType>
        <xsd:sequence>
          <xsd:element ref="pc:Terms" minOccurs="0" maxOccurs="1"/>
        </xsd:sequence>
      </xsd:complexType>
    </xsd:element>
    <xsd:element name="n154bfaa042446e1873c36b030d96572" ma:index="22" nillable="true" ma:taxonomy="true" ma:internalName="n154bfaa042446e1873c36b030d96572" ma:taxonomyFieldName="WDRCDocumentType" ma:displayName="Document Type" ma:default="" ma:fieldId="{7154bfaa-0424-46e1-873c-36b030d96572}" ma:sspId="fc5f5596-49e4-4d1b-8c17-782bd9155381" ma:termSetId="b471663b-3068-449a-9948-e5b1051b2ee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185c80-ba22-46da-a0c3-f76a6db09c0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bc22a1-dba5-4be1-a1bc-a7b6aa4b3ab7}" ma:internalName="TaxCatchAll" ma:showField="CatchAllData"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bc22a1-dba5-4be1-a1bc-a7b6aa4b3ab7}" ma:internalName="TaxCatchAllLabel" ma:readOnly="true" ma:showField="CatchAllDataLabel"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paef67daf2524f57a34527d2b9b6924f" ma:index="25" nillable="true" ma:taxonomy="true" ma:internalName="paef67daf2524f57a34527d2b9b6924f" ma:taxonomyFieldName="Calendar_x0020_Year" ma:displayName="Calendar Year" ma:default="" ma:fieldId="{9aef67da-f252-4f57-a345-27d2b9b6924f}" ma:sspId="fc5f5596-49e4-4d1b-8c17-782bd9155381" ma:termSetId="0e14de43-6bb6-4d35-b1a9-4e4013a72f09" ma:anchorId="00000000-0000-0000-0000-000000000000"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020b65-9c0b-4b74-9182-9ff215772a0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fc5f5596-49e4-4d1b-8c17-782bd91553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CFB11-ED29-4D5F-9234-909D4ACDB27B}">
  <ds:schemaRefs>
    <ds:schemaRef ds:uri="http://schemas.microsoft.com/office/2006/metadata/properties"/>
    <ds:schemaRef ds:uri="http://schemas.microsoft.com/office/infopath/2007/PartnerControls"/>
    <ds:schemaRef ds:uri="http://schemas.microsoft.com/sharepoint/v3"/>
    <ds:schemaRef ds:uri="a2020b65-9c0b-4b74-9182-9ff215772a0c"/>
    <ds:schemaRef ds:uri="a5185c80-ba22-46da-a0c3-f76a6db09c0b"/>
  </ds:schemaRefs>
</ds:datastoreItem>
</file>

<file path=customXml/itemProps2.xml><?xml version="1.0" encoding="utf-8"?>
<ds:datastoreItem xmlns:ds="http://schemas.openxmlformats.org/officeDocument/2006/customXml" ds:itemID="{6CE42373-D300-48EE-B081-96161E352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185c80-ba22-46da-a0c3-f76a6db09c0b"/>
    <ds:schemaRef ds:uri="a2020b65-9c0b-4b74-9182-9ff215772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96729-E476-4856-BE47-C687F216C7F0}">
  <ds:schemaRefs>
    <ds:schemaRef ds:uri="http://schemas.microsoft.com/sharepoint/v3/contenttype/forms"/>
  </ds:schemaRefs>
</ds:datastoreItem>
</file>

<file path=customXml/itemProps4.xml><?xml version="1.0" encoding="utf-8"?>
<ds:datastoreItem xmlns:ds="http://schemas.openxmlformats.org/officeDocument/2006/customXml" ds:itemID="{A6F6A712-E0E8-4F55-A1D9-08D77FC0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Western Downs Regional Council</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Janelle Mager</cp:lastModifiedBy>
  <cp:revision>9</cp:revision>
  <dcterms:created xsi:type="dcterms:W3CDTF">2025-08-21T22:03:00Z</dcterms:created>
  <dcterms:modified xsi:type="dcterms:W3CDTF">2025-09-11T07:36:00Z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0x010100203655BA52479242887340A5387A6136002EF9F6DE6B45144187D24C0096D5AC9D</vt:lpwstr>
  </property>
  <property fmtid="{D5CDD505-2E9C-101B-9397-08002B2CF9AE}" pid="3" name="MediaServiceImageTags">
    <vt:lpwstr/>
  </property>
  <property fmtid="{D5CDD505-2E9C-101B-9397-08002B2CF9AE}" pid="4" name="WDRCTopic">
    <vt:lpwstr/>
  </property>
  <property fmtid="{D5CDD505-2E9C-101B-9397-08002B2CF9AE}" pid="5" name="WDRCFinancialYear">
    <vt:lpwstr/>
  </property>
  <property fmtid="{D5CDD505-2E9C-101B-9397-08002B2CF9AE}" pid="6" name="WDRCDocumentType">
    <vt:lpwstr/>
  </property>
  <property fmtid="{D5CDD505-2E9C-101B-9397-08002B2CF9AE}" pid="7" name="WDRCTeam">
    <vt:lpwstr/>
  </property>
  <property fmtid="{D5CDD505-2E9C-101B-9397-08002B2CF9AE}" pid="8" name="WDRCLocation">
    <vt:lpwstr/>
  </property>
  <property fmtid="{D5CDD505-2E9C-101B-9397-08002B2CF9AE}" pid="9" name="WDRCFunction">
    <vt:lpwstr/>
  </property>
  <property fmtid="{D5CDD505-2E9C-101B-9397-08002B2CF9AE}" pid="10" name="Calendar_x0020_Year">
    <vt:lpwstr/>
  </property>
  <property fmtid="{D5CDD505-2E9C-101B-9397-08002B2CF9AE}" pid="11" name="WDRCDivision">
    <vt:lpwstr/>
  </property>
  <property fmtid="{D5CDD505-2E9C-101B-9397-08002B2CF9AE}" pid="12" name="Calendar Year">
    <vt:lpwstr/>
  </property>
</Properties>
</file>