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03DE" w14:textId="77777777" w:rsidR="00DA0753" w:rsidRDefault="00DA0753" w:rsidP="36FE45F8">
      <w:pPr>
        <w:rPr>
          <w:b/>
          <w:bCs/>
        </w:rPr>
      </w:pPr>
    </w:p>
    <w:p w14:paraId="05BA8A13" w14:textId="20575859" w:rsidR="004D643A" w:rsidRDefault="00DA0753" w:rsidP="36FE45F8">
      <w:pPr>
        <w:rPr>
          <w:b/>
          <w:bCs/>
        </w:rPr>
      </w:pPr>
      <w:r w:rsidRPr="00DA0753">
        <w:rPr>
          <w:b/>
          <w:bCs/>
        </w:rPr>
        <w:t>Table 9.2.2.1 Battery Storage Facility Code</w:t>
      </w:r>
    </w:p>
    <w:p w14:paraId="0C186E97" w14:textId="77777777" w:rsidR="00DA0753" w:rsidRPr="00DA0753" w:rsidRDefault="00DA0753" w:rsidP="36FE45F8">
      <w:pPr>
        <w:rPr>
          <w:b/>
          <w:bCs/>
        </w:rPr>
      </w:pPr>
    </w:p>
    <w:tbl>
      <w:tblPr>
        <w:tblW w:w="1530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2835"/>
        <w:gridCol w:w="6804"/>
      </w:tblGrid>
      <w:tr w:rsidR="004348C4" w:rsidRPr="00BA6927" w14:paraId="0BCE0A09" w14:textId="6A67B883" w:rsidTr="00A90BF7">
        <w:trPr>
          <w:trHeight w:val="300"/>
          <w:tblHeader/>
        </w:trPr>
        <w:tc>
          <w:tcPr>
            <w:tcW w:w="5670" w:type="dxa"/>
            <w:shd w:val="clear" w:color="auto" w:fill="227ACB"/>
            <w:vAlign w:val="center"/>
          </w:tcPr>
          <w:p w14:paraId="79DC7009" w14:textId="7408C104" w:rsidR="004348C4" w:rsidRPr="00BA6927" w:rsidRDefault="00A90BF7" w:rsidP="00A90BF7">
            <w:pPr>
              <w:ind w:left="113" w:right="113"/>
              <w:rPr>
                <w:rFonts w:eastAsia="Calibri" w:cs="Arial"/>
                <w:b/>
                <w:color w:val="FFFFFF"/>
                <w:szCs w:val="20"/>
                <w:lang w:val="en-US"/>
              </w:rPr>
            </w:pPr>
            <w:r w:rsidRPr="00BA6927">
              <w:rPr>
                <w:rFonts w:eastAsia="Calibri" w:cs="Arial"/>
                <w:b/>
                <w:color w:val="FFFFFF"/>
                <w:szCs w:val="20"/>
                <w:lang w:val="en-US"/>
              </w:rPr>
              <w:t>PERFORMANCE OUTCOMES</w:t>
            </w:r>
          </w:p>
        </w:tc>
        <w:tc>
          <w:tcPr>
            <w:tcW w:w="2835" w:type="dxa"/>
            <w:shd w:val="clear" w:color="auto" w:fill="227ACB"/>
            <w:vAlign w:val="center"/>
          </w:tcPr>
          <w:p w14:paraId="18C2FF6F" w14:textId="04E9B431" w:rsidR="004348C4" w:rsidRPr="00BA6927" w:rsidRDefault="00A90BF7" w:rsidP="00A90BF7">
            <w:pPr>
              <w:ind w:left="113" w:right="113"/>
              <w:rPr>
                <w:rFonts w:eastAsia="Calibri" w:cs="Arial"/>
                <w:b/>
                <w:color w:val="FFFFFF"/>
                <w:szCs w:val="20"/>
                <w:lang w:val="en-US"/>
              </w:rPr>
            </w:pPr>
            <w:r w:rsidRPr="00BA6927">
              <w:rPr>
                <w:rFonts w:eastAsia="Calibri" w:cs="Arial"/>
                <w:b/>
                <w:color w:val="FFFFFF"/>
                <w:szCs w:val="20"/>
                <w:lang w:val="en-US"/>
              </w:rPr>
              <w:t>ACCEPTABLE OUTCOMES</w:t>
            </w:r>
          </w:p>
        </w:tc>
        <w:tc>
          <w:tcPr>
            <w:tcW w:w="6804" w:type="dxa"/>
            <w:shd w:val="clear" w:color="auto" w:fill="227ACB"/>
          </w:tcPr>
          <w:p w14:paraId="163F54A0" w14:textId="23083FDD" w:rsidR="00EC4039" w:rsidRPr="00EC4039" w:rsidRDefault="00EC4039" w:rsidP="00EC4039">
            <w:pPr>
              <w:ind w:left="113" w:right="113"/>
              <w:rPr>
                <w:rFonts w:eastAsia="Calibri" w:cs="Arial"/>
                <w:b/>
                <w:color w:val="FFFFFF"/>
                <w:szCs w:val="20"/>
                <w:lang w:val="en-US"/>
              </w:rPr>
            </w:pPr>
            <w:r w:rsidRPr="00EC4039">
              <w:rPr>
                <w:rFonts w:eastAsia="Calibri" w:cs="Arial"/>
                <w:b/>
                <w:color w:val="FFFFFF"/>
                <w:szCs w:val="20"/>
                <w:lang w:val="en-US"/>
              </w:rPr>
              <w:t>P</w:t>
            </w:r>
            <w:r w:rsidR="00A90BF7">
              <w:rPr>
                <w:rFonts w:eastAsia="Calibri" w:cs="Arial"/>
                <w:b/>
                <w:color w:val="FFFFFF"/>
                <w:szCs w:val="20"/>
                <w:lang w:val="en-US"/>
              </w:rPr>
              <w:t>ROPOSED SOLUTION</w:t>
            </w:r>
            <w:r w:rsidRPr="00EC4039">
              <w:rPr>
                <w:rFonts w:eastAsia="Calibri" w:cs="Arial"/>
                <w:b/>
                <w:color w:val="FFFFFF"/>
                <w:szCs w:val="20"/>
                <w:lang w:val="en-US"/>
              </w:rPr>
              <w:t xml:space="preserve">  </w:t>
            </w:r>
          </w:p>
          <w:p w14:paraId="281E7453" w14:textId="4F2C5ABF" w:rsidR="004348C4" w:rsidRPr="00BA6927" w:rsidRDefault="00EC4039" w:rsidP="00EC4039">
            <w:pPr>
              <w:ind w:left="113" w:right="113"/>
              <w:rPr>
                <w:rFonts w:eastAsia="Calibri" w:cs="Arial"/>
                <w:b/>
                <w:color w:val="FFFFFF"/>
                <w:szCs w:val="20"/>
                <w:lang w:val="en-US"/>
              </w:rPr>
            </w:pPr>
            <w:r w:rsidRPr="00EC4039">
              <w:rPr>
                <w:rFonts w:eastAsia="Calibri" w:cs="Arial"/>
                <w:b/>
                <w:color w:val="FFFFFF"/>
                <w:szCs w:val="20"/>
                <w:lang w:val="en-US"/>
              </w:rPr>
              <w:t>Explanation of how the development addresses the Acceptable Outcome and/or Performance Outcome.</w:t>
            </w:r>
          </w:p>
        </w:tc>
      </w:tr>
      <w:tr w:rsidR="00EC4039" w:rsidRPr="004348C4" w14:paraId="008A9DC4" w14:textId="637A55C3" w:rsidTr="00EC40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5309" w:type="dxa"/>
            <w:gridSpan w:val="3"/>
          </w:tcPr>
          <w:p w14:paraId="6739007D" w14:textId="51D85FE4" w:rsidR="00EC4039" w:rsidRPr="004348C4" w:rsidRDefault="00EC4039" w:rsidP="004348C4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4348C4">
              <w:rPr>
                <w:rFonts w:eastAsia="Calibri" w:cs="Arial"/>
                <w:b/>
                <w:szCs w:val="20"/>
                <w:lang w:val="en-US"/>
              </w:rPr>
              <w:t>Design and Amenity</w:t>
            </w:r>
          </w:p>
        </w:tc>
      </w:tr>
      <w:tr w:rsidR="004348C4" w:rsidRPr="004348C4" w14:paraId="20C369B2" w14:textId="0D0D80AD" w:rsidTr="00A90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670" w:type="dxa"/>
          </w:tcPr>
          <w:p w14:paraId="60D32964" w14:textId="77777777" w:rsidR="004348C4" w:rsidRPr="004348C4" w:rsidRDefault="004348C4" w:rsidP="00A90BF7">
            <w:pPr>
              <w:autoSpaceDE w:val="0"/>
              <w:autoSpaceDN w:val="0"/>
              <w:ind w:left="113" w:right="113"/>
              <w:jc w:val="both"/>
              <w:rPr>
                <w:rFonts w:eastAsia="Calibri" w:cs="Arial"/>
                <w:color w:val="000000"/>
                <w:szCs w:val="20"/>
                <w:lang w:eastAsia="en-AU"/>
              </w:rPr>
            </w:pPr>
            <w:r w:rsidRPr="004348C4">
              <w:rPr>
                <w:rFonts w:eastAsia="Calibri" w:cs="Arial"/>
                <w:b/>
                <w:bCs/>
                <w:color w:val="000000"/>
                <w:szCs w:val="20"/>
                <w:lang w:eastAsia="en-AU"/>
              </w:rPr>
              <w:t xml:space="preserve">PO1 </w:t>
            </w:r>
          </w:p>
          <w:p w14:paraId="1FE7BC38" w14:textId="77777777" w:rsidR="004348C4" w:rsidRPr="004348C4" w:rsidRDefault="004348C4" w:rsidP="00A90BF7">
            <w:pPr>
              <w:autoSpaceDE w:val="0"/>
              <w:autoSpaceDN w:val="0"/>
              <w:ind w:left="113" w:right="113"/>
              <w:jc w:val="both"/>
              <w:rPr>
                <w:rFonts w:eastAsia="Calibri" w:cs="Arial"/>
                <w:color w:val="000000"/>
                <w:szCs w:val="20"/>
                <w:lang w:eastAsia="en-AU"/>
              </w:rPr>
            </w:pPr>
            <w:r w:rsidRPr="004348C4">
              <w:rPr>
                <w:rFonts w:eastAsia="Calibri" w:cs="Arial"/>
                <w:color w:val="000000"/>
                <w:szCs w:val="20"/>
                <w:lang w:eastAsia="en-AU"/>
              </w:rPr>
              <w:t>Battery storage facilities:</w:t>
            </w:r>
          </w:p>
          <w:p w14:paraId="182C7BF3" w14:textId="77777777" w:rsidR="004348C4" w:rsidRPr="004348C4" w:rsidRDefault="004348C4" w:rsidP="00A90B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73" w:right="113"/>
              <w:jc w:val="both"/>
              <w:rPr>
                <w:rFonts w:eastAsia="Calibri" w:cs="Arial"/>
                <w:color w:val="000000"/>
                <w:szCs w:val="20"/>
                <w:lang w:eastAsia="en-AU"/>
              </w:rPr>
            </w:pPr>
            <w:r w:rsidRPr="004348C4">
              <w:rPr>
                <w:rFonts w:eastAsia="Calibri" w:cs="Arial"/>
                <w:color w:val="000000"/>
                <w:szCs w:val="20"/>
                <w:lang w:eastAsia="en-AU"/>
              </w:rPr>
              <w:t xml:space="preserve">are located, sited, orientated and designed (including internal battery cell spacing and separation) having regard to prevailing climatic site </w:t>
            </w:r>
            <w:proofErr w:type="gramStart"/>
            <w:r w:rsidRPr="004348C4">
              <w:rPr>
                <w:rFonts w:eastAsia="Calibri" w:cs="Arial"/>
                <w:color w:val="000000"/>
                <w:szCs w:val="20"/>
                <w:lang w:eastAsia="en-AU"/>
              </w:rPr>
              <w:t>conditions;</w:t>
            </w:r>
            <w:proofErr w:type="gramEnd"/>
          </w:p>
          <w:p w14:paraId="7D9BD751" w14:textId="77777777" w:rsidR="004348C4" w:rsidRPr="004348C4" w:rsidRDefault="004348C4" w:rsidP="00A90B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73" w:right="113"/>
              <w:jc w:val="both"/>
              <w:rPr>
                <w:rFonts w:eastAsia="Calibri" w:cs="Arial"/>
                <w:color w:val="000000"/>
                <w:szCs w:val="20"/>
                <w:lang w:eastAsia="en-AU"/>
              </w:rPr>
            </w:pPr>
            <w:r w:rsidRPr="004348C4">
              <w:rPr>
                <w:rFonts w:eastAsia="Calibri" w:cs="Arial"/>
                <w:color w:val="000000"/>
                <w:szCs w:val="20"/>
                <w:lang w:eastAsia="en-AU"/>
              </w:rPr>
              <w:t xml:space="preserve">provide design treatments, setbacks and screening to avoid aesthetic impacts of the facility </w:t>
            </w:r>
            <w:proofErr w:type="gramStart"/>
            <w:r w:rsidRPr="004348C4">
              <w:rPr>
                <w:rFonts w:eastAsia="Calibri" w:cs="Arial"/>
                <w:color w:val="000000"/>
                <w:szCs w:val="20"/>
                <w:lang w:eastAsia="en-AU"/>
              </w:rPr>
              <w:t>where</w:t>
            </w:r>
            <w:proofErr w:type="gramEnd"/>
            <w:r w:rsidRPr="004348C4">
              <w:rPr>
                <w:rFonts w:eastAsia="Calibri" w:cs="Arial"/>
                <w:color w:val="000000"/>
                <w:szCs w:val="20"/>
                <w:lang w:eastAsia="en-AU"/>
              </w:rPr>
              <w:t xml:space="preserve"> viewed from roads, nearby public spaces and surrounding land uses to protect the prevailing visual character of the </w:t>
            </w:r>
            <w:proofErr w:type="gramStart"/>
            <w:r w:rsidRPr="004348C4">
              <w:rPr>
                <w:rFonts w:eastAsia="Calibri" w:cs="Arial"/>
                <w:color w:val="000000"/>
                <w:szCs w:val="20"/>
                <w:lang w:eastAsia="en-AU"/>
              </w:rPr>
              <w:t>locality;</w:t>
            </w:r>
            <w:proofErr w:type="gramEnd"/>
          </w:p>
          <w:p w14:paraId="5EA0278C" w14:textId="77777777" w:rsidR="004348C4" w:rsidRPr="004348C4" w:rsidRDefault="004348C4" w:rsidP="00A90B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473" w:right="113"/>
              <w:jc w:val="both"/>
              <w:rPr>
                <w:rFonts w:eastAsia="Calibri" w:cs="Arial"/>
                <w:color w:val="000000"/>
                <w:szCs w:val="20"/>
                <w:lang w:eastAsia="en-AU"/>
              </w:rPr>
            </w:pPr>
            <w:r w:rsidRPr="004348C4">
              <w:rPr>
                <w:rFonts w:eastAsia="Calibri" w:cs="Arial"/>
                <w:color w:val="000000"/>
                <w:szCs w:val="20"/>
                <w:lang w:eastAsia="en-AU"/>
              </w:rPr>
              <w:t>avoid or mitigate amenity impacts to surrounding sensitive land uses from (but not limited to) noise, vibration, lighting and thermal emissions.</w:t>
            </w:r>
          </w:p>
          <w:p w14:paraId="411A2011" w14:textId="77777777" w:rsidR="004348C4" w:rsidRPr="004348C4" w:rsidRDefault="004348C4" w:rsidP="00A90BF7">
            <w:pPr>
              <w:autoSpaceDE w:val="0"/>
              <w:autoSpaceDN w:val="0"/>
              <w:ind w:left="113" w:right="113"/>
              <w:jc w:val="both"/>
              <w:rPr>
                <w:rFonts w:eastAsia="Calibri" w:cs="Arial"/>
                <w:color w:val="000000"/>
                <w:sz w:val="18"/>
                <w:szCs w:val="18"/>
                <w:lang w:eastAsia="en-AU"/>
              </w:rPr>
            </w:pPr>
            <w:r w:rsidRPr="004348C4">
              <w:rPr>
                <w:rFonts w:eastAsia="Calibri" w:cs="Arial"/>
                <w:color w:val="000000"/>
                <w:sz w:val="18"/>
                <w:szCs w:val="18"/>
                <w:lang w:eastAsia="en-AU"/>
              </w:rPr>
              <w:t>Editor’s note—climatic conditions can affect operational and maintenance requirements, as well as expected life of a battery storage system.</w:t>
            </w:r>
          </w:p>
        </w:tc>
        <w:tc>
          <w:tcPr>
            <w:tcW w:w="2835" w:type="dxa"/>
          </w:tcPr>
          <w:p w14:paraId="224D0FD5" w14:textId="77777777" w:rsidR="004348C4" w:rsidRPr="004348C4" w:rsidRDefault="004348C4" w:rsidP="00A90BF7">
            <w:pPr>
              <w:autoSpaceDE w:val="0"/>
              <w:autoSpaceDN w:val="0"/>
              <w:ind w:left="113" w:right="113"/>
              <w:jc w:val="both"/>
              <w:rPr>
                <w:rFonts w:eastAsia="Calibri" w:cs="Arial"/>
                <w:color w:val="000000"/>
                <w:szCs w:val="20"/>
                <w:lang w:eastAsia="en-AU"/>
              </w:rPr>
            </w:pPr>
            <w:r w:rsidRPr="004348C4">
              <w:rPr>
                <w:rFonts w:eastAsia="Calibri" w:cs="Arial"/>
                <w:b/>
                <w:bCs/>
                <w:color w:val="000000"/>
                <w:szCs w:val="20"/>
                <w:lang w:eastAsia="en-AU"/>
              </w:rPr>
              <w:t>AO1</w:t>
            </w:r>
          </w:p>
          <w:p w14:paraId="01652830" w14:textId="77777777" w:rsidR="004348C4" w:rsidRPr="004348C4" w:rsidRDefault="004348C4" w:rsidP="00A90BF7">
            <w:pPr>
              <w:ind w:left="113" w:right="113"/>
              <w:jc w:val="both"/>
              <w:rPr>
                <w:rFonts w:eastAsia="Calibri" w:cs="Arial"/>
                <w:b/>
                <w:szCs w:val="20"/>
                <w:lang w:val="en-US"/>
              </w:rPr>
            </w:pPr>
            <w:r w:rsidRPr="004348C4">
              <w:rPr>
                <w:rFonts w:eastAsia="Calibri" w:cs="Arial"/>
                <w:szCs w:val="20"/>
                <w:lang w:val="en-US"/>
              </w:rPr>
              <w:t xml:space="preserve">No acceptable outcome. </w:t>
            </w:r>
          </w:p>
        </w:tc>
        <w:tc>
          <w:tcPr>
            <w:tcW w:w="6804" w:type="dxa"/>
          </w:tcPr>
          <w:p w14:paraId="5A0E1DD9" w14:textId="77777777" w:rsidR="004348C4" w:rsidRPr="004348C4" w:rsidRDefault="004348C4" w:rsidP="004348C4">
            <w:pPr>
              <w:autoSpaceDE w:val="0"/>
              <w:autoSpaceDN w:val="0"/>
              <w:ind w:left="113" w:right="113"/>
              <w:rPr>
                <w:rFonts w:eastAsia="Calibri" w:cs="Arial"/>
                <w:b/>
                <w:bCs/>
                <w:color w:val="000000"/>
                <w:szCs w:val="20"/>
                <w:lang w:eastAsia="en-AU"/>
              </w:rPr>
            </w:pPr>
          </w:p>
        </w:tc>
      </w:tr>
      <w:tr w:rsidR="00EC4039" w:rsidRPr="004348C4" w14:paraId="257014CE" w14:textId="3D475E88" w:rsidTr="006176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5309" w:type="dxa"/>
            <w:gridSpan w:val="3"/>
          </w:tcPr>
          <w:p w14:paraId="7602545B" w14:textId="430EDFCC" w:rsidR="00EC4039" w:rsidRPr="004348C4" w:rsidRDefault="00EC4039" w:rsidP="004348C4">
            <w:pPr>
              <w:autoSpaceDE w:val="0"/>
              <w:autoSpaceDN w:val="0"/>
              <w:ind w:left="113" w:right="113"/>
              <w:rPr>
                <w:rFonts w:eastAsia="Calibri" w:cs="Arial"/>
                <w:b/>
                <w:bCs/>
                <w:color w:val="000000"/>
                <w:szCs w:val="20"/>
                <w:lang w:eastAsia="en-AU"/>
              </w:rPr>
            </w:pPr>
            <w:r w:rsidRPr="004348C4">
              <w:rPr>
                <w:rFonts w:eastAsia="Calibri" w:cs="Arial"/>
                <w:b/>
                <w:bCs/>
                <w:color w:val="000000"/>
                <w:szCs w:val="20"/>
                <w:lang w:eastAsia="en-AU"/>
              </w:rPr>
              <w:t>Hazards and Risk Mitigation</w:t>
            </w:r>
          </w:p>
        </w:tc>
      </w:tr>
      <w:tr w:rsidR="004348C4" w:rsidRPr="004348C4" w14:paraId="73C82849" w14:textId="63DF36B2" w:rsidTr="00A90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670" w:type="dxa"/>
          </w:tcPr>
          <w:p w14:paraId="57DAEF99" w14:textId="77777777" w:rsidR="004348C4" w:rsidRPr="004348C4" w:rsidRDefault="004348C4" w:rsidP="00A90BF7">
            <w:pPr>
              <w:autoSpaceDE w:val="0"/>
              <w:autoSpaceDN w:val="0"/>
              <w:ind w:left="113" w:right="113"/>
              <w:jc w:val="both"/>
              <w:rPr>
                <w:rFonts w:eastAsia="Calibri" w:cs="Arial"/>
                <w:b/>
                <w:bCs/>
                <w:color w:val="000000"/>
                <w:szCs w:val="20"/>
                <w:lang w:eastAsia="en-AU"/>
              </w:rPr>
            </w:pPr>
            <w:r w:rsidRPr="004348C4">
              <w:rPr>
                <w:rFonts w:eastAsia="Calibri" w:cs="Arial"/>
                <w:b/>
                <w:bCs/>
                <w:color w:val="000000"/>
                <w:szCs w:val="20"/>
                <w:lang w:eastAsia="en-AU"/>
              </w:rPr>
              <w:t>PO2</w:t>
            </w:r>
          </w:p>
          <w:p w14:paraId="0526B117" w14:textId="77777777" w:rsidR="004348C4" w:rsidRPr="004348C4" w:rsidRDefault="004348C4" w:rsidP="00A90BF7">
            <w:pPr>
              <w:autoSpaceDE w:val="0"/>
              <w:autoSpaceDN w:val="0"/>
              <w:ind w:left="113" w:right="113"/>
              <w:jc w:val="both"/>
              <w:rPr>
                <w:rFonts w:eastAsia="Calibri" w:cs="Arial"/>
                <w:color w:val="000000"/>
                <w:szCs w:val="20"/>
                <w:lang w:eastAsia="en-AU"/>
              </w:rPr>
            </w:pPr>
            <w:r w:rsidRPr="004348C4">
              <w:rPr>
                <w:rFonts w:eastAsia="Calibri" w:cs="Arial"/>
                <w:color w:val="000000"/>
                <w:szCs w:val="20"/>
                <w:lang w:eastAsia="en-AU"/>
              </w:rPr>
              <w:t>Battery storage facility uses are appropriately located, designed and separated to avoid harm or mitigate the risk of harm to people, surrounding land uses and environmental values by:</w:t>
            </w:r>
          </w:p>
          <w:p w14:paraId="38647BC0" w14:textId="77777777" w:rsidR="004348C4" w:rsidRPr="004348C4" w:rsidRDefault="004348C4" w:rsidP="00A90BF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73" w:right="113"/>
              <w:jc w:val="both"/>
              <w:rPr>
                <w:rFonts w:eastAsia="Calibri" w:cs="Arial"/>
                <w:color w:val="000000"/>
                <w:szCs w:val="20"/>
                <w:lang w:eastAsia="en-AU"/>
              </w:rPr>
            </w:pPr>
            <w:r w:rsidRPr="004348C4">
              <w:rPr>
                <w:rFonts w:eastAsia="Calibri" w:cs="Arial"/>
                <w:color w:val="000000"/>
                <w:szCs w:val="20"/>
                <w:lang w:eastAsia="en-AU"/>
              </w:rPr>
              <w:t xml:space="preserve">avoiding or where unable to avoid, minimise the risks of fire, explosion, thermal emission and containment release on and from the </w:t>
            </w:r>
            <w:proofErr w:type="gramStart"/>
            <w:r w:rsidRPr="004348C4">
              <w:rPr>
                <w:rFonts w:eastAsia="Calibri" w:cs="Arial"/>
                <w:color w:val="000000"/>
                <w:szCs w:val="20"/>
                <w:lang w:eastAsia="en-AU"/>
              </w:rPr>
              <w:t>premises;</w:t>
            </w:r>
            <w:proofErr w:type="gramEnd"/>
          </w:p>
          <w:p w14:paraId="01EC37AA" w14:textId="77777777" w:rsidR="004348C4" w:rsidRPr="004348C4" w:rsidRDefault="004348C4" w:rsidP="00A90BF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73" w:right="113"/>
              <w:jc w:val="both"/>
              <w:rPr>
                <w:rFonts w:eastAsia="Calibri" w:cs="Arial"/>
                <w:color w:val="000000"/>
                <w:szCs w:val="20"/>
                <w:lang w:eastAsia="en-AU"/>
              </w:rPr>
            </w:pPr>
            <w:r w:rsidRPr="004348C4">
              <w:rPr>
                <w:rFonts w:eastAsia="Calibri" w:cs="Arial"/>
                <w:color w:val="000000"/>
                <w:szCs w:val="20"/>
                <w:lang w:eastAsia="en-AU"/>
              </w:rPr>
              <w:t xml:space="preserve">avoiding or where unable to avoid, mitigate the risks to the use of bushfire (including airborne debris), flood and vehicular </w:t>
            </w:r>
            <w:proofErr w:type="gramStart"/>
            <w:r w:rsidRPr="004348C4">
              <w:rPr>
                <w:rFonts w:eastAsia="Calibri" w:cs="Arial"/>
                <w:color w:val="000000"/>
                <w:szCs w:val="20"/>
                <w:lang w:eastAsia="en-AU"/>
              </w:rPr>
              <w:t>impact;</w:t>
            </w:r>
            <w:proofErr w:type="gramEnd"/>
          </w:p>
          <w:p w14:paraId="5E203019" w14:textId="77777777" w:rsidR="004348C4" w:rsidRPr="004348C4" w:rsidRDefault="004348C4" w:rsidP="00A90BF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73" w:right="113"/>
              <w:jc w:val="both"/>
              <w:rPr>
                <w:rFonts w:eastAsia="Calibri" w:cs="Arial"/>
                <w:color w:val="000000"/>
                <w:szCs w:val="20"/>
                <w:lang w:eastAsia="en-AU"/>
              </w:rPr>
            </w:pPr>
            <w:r w:rsidRPr="004348C4">
              <w:rPr>
                <w:rFonts w:eastAsia="Calibri" w:cs="Arial"/>
                <w:color w:val="000000"/>
                <w:szCs w:val="20"/>
                <w:lang w:eastAsia="en-AU"/>
              </w:rPr>
              <w:lastRenderedPageBreak/>
              <w:t xml:space="preserve">providing a securely fenced and enclosed site, designed to incorporate crime prevention through environmental design </w:t>
            </w:r>
            <w:proofErr w:type="gramStart"/>
            <w:r w:rsidRPr="004348C4">
              <w:rPr>
                <w:rFonts w:eastAsia="Calibri" w:cs="Arial"/>
                <w:color w:val="000000"/>
                <w:szCs w:val="20"/>
                <w:lang w:eastAsia="en-AU"/>
              </w:rPr>
              <w:t>principles;</w:t>
            </w:r>
            <w:proofErr w:type="gramEnd"/>
          </w:p>
          <w:p w14:paraId="13E229E5" w14:textId="77777777" w:rsidR="004348C4" w:rsidRPr="004348C4" w:rsidRDefault="004348C4" w:rsidP="00A90BF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473" w:right="113"/>
              <w:jc w:val="both"/>
              <w:rPr>
                <w:rFonts w:eastAsia="Calibri" w:cs="Arial"/>
                <w:color w:val="000000"/>
                <w:szCs w:val="20"/>
                <w:lang w:eastAsia="en-AU"/>
              </w:rPr>
            </w:pPr>
            <w:r w:rsidRPr="004348C4">
              <w:rPr>
                <w:rFonts w:eastAsia="Calibri" w:cs="Arial"/>
                <w:color w:val="000000"/>
                <w:szCs w:val="20"/>
                <w:lang w:eastAsia="en-AU"/>
              </w:rPr>
              <w:t>facilitating effective and efficient fire and emergency service response in the event of a fire, bushfire, explosion, contamination leak or other incident triggering an emergency service response.</w:t>
            </w:r>
          </w:p>
          <w:p w14:paraId="666DF581" w14:textId="77777777" w:rsidR="004348C4" w:rsidRPr="004348C4" w:rsidRDefault="004348C4" w:rsidP="00A90BF7">
            <w:pPr>
              <w:autoSpaceDE w:val="0"/>
              <w:autoSpaceDN w:val="0"/>
              <w:ind w:left="113" w:right="113"/>
              <w:jc w:val="both"/>
              <w:rPr>
                <w:rFonts w:eastAsia="Calibri" w:cs="Arial"/>
                <w:color w:val="000000"/>
                <w:sz w:val="18"/>
                <w:szCs w:val="18"/>
                <w:lang w:eastAsia="en-AU"/>
              </w:rPr>
            </w:pPr>
            <w:r w:rsidRPr="004348C4">
              <w:rPr>
                <w:rFonts w:eastAsia="Calibri" w:cs="Arial"/>
                <w:color w:val="000000"/>
                <w:sz w:val="18"/>
                <w:szCs w:val="18"/>
                <w:lang w:eastAsia="en-AU"/>
              </w:rPr>
              <w:t xml:space="preserve">Note—to demonstrate compliance with this Performance Outcome, the following information will be required, which may include (but is not limited to): </w:t>
            </w:r>
          </w:p>
          <w:p w14:paraId="2370425D" w14:textId="77777777" w:rsidR="004348C4" w:rsidRPr="004348C4" w:rsidRDefault="004348C4" w:rsidP="00A90BF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32" w:right="113" w:hanging="319"/>
              <w:jc w:val="both"/>
              <w:rPr>
                <w:rFonts w:eastAsia="Calibri" w:cs="Arial"/>
                <w:sz w:val="18"/>
                <w:szCs w:val="18"/>
                <w:lang w:eastAsia="en-AU"/>
              </w:rPr>
            </w:pPr>
            <w:r w:rsidRPr="004348C4">
              <w:rPr>
                <w:rFonts w:eastAsia="Calibri" w:cs="Arial"/>
                <w:sz w:val="18"/>
                <w:szCs w:val="18"/>
                <w:lang w:eastAsia="en-AU"/>
              </w:rPr>
              <w:t>Consideration has been given to providing:</w:t>
            </w:r>
          </w:p>
          <w:p w14:paraId="24AE9DDD" w14:textId="77777777" w:rsidR="004348C4" w:rsidRPr="004348C4" w:rsidRDefault="004348C4" w:rsidP="00A90BF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38" w:right="113" w:hanging="284"/>
              <w:jc w:val="both"/>
              <w:rPr>
                <w:rFonts w:eastAsia="Calibri" w:cs="Arial"/>
                <w:sz w:val="18"/>
                <w:szCs w:val="18"/>
                <w:lang w:eastAsia="en-AU"/>
              </w:rPr>
            </w:pPr>
            <w:r w:rsidRPr="004348C4">
              <w:rPr>
                <w:rFonts w:eastAsia="Calibri" w:cs="Arial"/>
                <w:sz w:val="18"/>
                <w:szCs w:val="18"/>
                <w:lang w:eastAsia="en-AU"/>
              </w:rPr>
              <w:t xml:space="preserve">a perimeter access road to both the outside and inside of the security fence or enclosure of the </w:t>
            </w:r>
            <w:proofErr w:type="gramStart"/>
            <w:r w:rsidRPr="004348C4">
              <w:rPr>
                <w:rFonts w:eastAsia="Calibri" w:cs="Arial"/>
                <w:sz w:val="18"/>
                <w:szCs w:val="18"/>
                <w:lang w:eastAsia="en-AU"/>
              </w:rPr>
              <w:t>facility;</w:t>
            </w:r>
            <w:proofErr w:type="gramEnd"/>
          </w:p>
          <w:p w14:paraId="59EAE3FA" w14:textId="77777777" w:rsidR="004348C4" w:rsidRPr="004348C4" w:rsidRDefault="004348C4" w:rsidP="00A90BF7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ind w:left="738" w:right="113" w:hanging="284"/>
              <w:jc w:val="both"/>
              <w:rPr>
                <w:rFonts w:eastAsia="Calibri" w:cs="Arial"/>
                <w:sz w:val="18"/>
                <w:szCs w:val="18"/>
                <w:lang w:eastAsia="en-AU"/>
              </w:rPr>
            </w:pPr>
            <w:r w:rsidRPr="004348C4">
              <w:rPr>
                <w:rFonts w:eastAsia="Calibri" w:cs="Arial"/>
                <w:sz w:val="18"/>
                <w:szCs w:val="18"/>
                <w:lang w:eastAsia="en-AU"/>
              </w:rPr>
              <w:t xml:space="preserve">multiple access and egress points to the facility, suitable for use by emergency services, emergency response and maintenance </w:t>
            </w:r>
            <w:proofErr w:type="gramStart"/>
            <w:r w:rsidRPr="004348C4">
              <w:rPr>
                <w:rFonts w:eastAsia="Calibri" w:cs="Arial"/>
                <w:sz w:val="18"/>
                <w:szCs w:val="18"/>
                <w:lang w:eastAsia="en-AU"/>
              </w:rPr>
              <w:t>vehicles;</w:t>
            </w:r>
            <w:proofErr w:type="gramEnd"/>
          </w:p>
          <w:p w14:paraId="2338CC9B" w14:textId="77777777" w:rsidR="004348C4" w:rsidRPr="004348C4" w:rsidRDefault="004348C4" w:rsidP="00A90BF7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ind w:left="738" w:right="113" w:hanging="284"/>
              <w:jc w:val="both"/>
              <w:rPr>
                <w:rFonts w:eastAsia="Calibri" w:cs="Arial"/>
                <w:sz w:val="18"/>
                <w:szCs w:val="18"/>
                <w:lang w:eastAsia="en-AU"/>
              </w:rPr>
            </w:pPr>
            <w:r w:rsidRPr="004348C4">
              <w:rPr>
                <w:rFonts w:eastAsia="Calibri" w:cs="Arial"/>
                <w:sz w:val="18"/>
                <w:szCs w:val="18"/>
                <w:lang w:eastAsia="en-AU"/>
              </w:rPr>
              <w:t xml:space="preserve">for movement of emergency services, emergency response and maintenance vehicles within the security enclosure and between module rows and having regard to entrapment </w:t>
            </w:r>
            <w:proofErr w:type="gramStart"/>
            <w:r w:rsidRPr="004348C4">
              <w:rPr>
                <w:rFonts w:eastAsia="Calibri" w:cs="Arial"/>
                <w:sz w:val="18"/>
                <w:szCs w:val="18"/>
                <w:lang w:eastAsia="en-AU"/>
              </w:rPr>
              <w:t>risks;</w:t>
            </w:r>
            <w:proofErr w:type="gramEnd"/>
          </w:p>
          <w:p w14:paraId="550E2788" w14:textId="77777777" w:rsidR="004348C4" w:rsidRPr="004348C4" w:rsidRDefault="004348C4" w:rsidP="00A90BF7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ind w:left="738" w:right="113" w:hanging="284"/>
              <w:jc w:val="both"/>
              <w:rPr>
                <w:rFonts w:eastAsia="Calibri" w:cs="Arial"/>
                <w:color w:val="000000"/>
                <w:sz w:val="18"/>
                <w:szCs w:val="18"/>
                <w:lang w:eastAsia="en-AU"/>
              </w:rPr>
            </w:pPr>
            <w:r w:rsidRPr="004348C4">
              <w:rPr>
                <w:rFonts w:eastAsia="Calibri" w:cs="Arial"/>
                <w:color w:val="000000"/>
                <w:sz w:val="18"/>
                <w:szCs w:val="18"/>
                <w:lang w:eastAsia="en-AU"/>
              </w:rPr>
              <w:t>buffers clear of vegetation of a type which would contribute to the risk of spread of fire to or from the facility.</w:t>
            </w:r>
          </w:p>
          <w:p w14:paraId="1B0F625A" w14:textId="77777777" w:rsidR="004348C4" w:rsidRPr="004348C4" w:rsidRDefault="004348C4" w:rsidP="00A90BF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97" w:right="113" w:hanging="284"/>
              <w:jc w:val="both"/>
              <w:rPr>
                <w:rFonts w:eastAsia="Calibri" w:cs="Arial"/>
                <w:b/>
                <w:bCs/>
                <w:color w:val="000000"/>
                <w:szCs w:val="20"/>
                <w:lang w:eastAsia="en-AU"/>
              </w:rPr>
            </w:pPr>
            <w:r w:rsidRPr="004348C4">
              <w:rPr>
                <w:rFonts w:eastAsia="Calibri" w:cs="Arial"/>
                <w:sz w:val="18"/>
                <w:szCs w:val="18"/>
                <w:lang w:eastAsia="en-AU"/>
              </w:rPr>
              <w:t>Preparation of a risk management plan, fire and bushfire management plan and emergency plan. These plans are to be prepared by a suitably qualified and experienced person.</w:t>
            </w:r>
          </w:p>
        </w:tc>
        <w:tc>
          <w:tcPr>
            <w:tcW w:w="2835" w:type="dxa"/>
          </w:tcPr>
          <w:p w14:paraId="383CD749" w14:textId="77777777" w:rsidR="004348C4" w:rsidRPr="004348C4" w:rsidRDefault="004348C4" w:rsidP="00A90BF7">
            <w:pPr>
              <w:autoSpaceDE w:val="0"/>
              <w:autoSpaceDN w:val="0"/>
              <w:ind w:left="113" w:right="113"/>
              <w:jc w:val="both"/>
              <w:rPr>
                <w:rFonts w:eastAsia="Calibri" w:cs="Arial"/>
                <w:color w:val="000000"/>
                <w:szCs w:val="20"/>
                <w:lang w:eastAsia="en-AU"/>
              </w:rPr>
            </w:pPr>
            <w:r w:rsidRPr="004348C4">
              <w:rPr>
                <w:rFonts w:eastAsia="Calibri" w:cs="Arial"/>
                <w:b/>
                <w:bCs/>
                <w:color w:val="000000"/>
                <w:szCs w:val="20"/>
                <w:lang w:eastAsia="en-AU"/>
              </w:rPr>
              <w:lastRenderedPageBreak/>
              <w:t>AO2</w:t>
            </w:r>
          </w:p>
          <w:p w14:paraId="111BD507" w14:textId="77777777" w:rsidR="004348C4" w:rsidRPr="004348C4" w:rsidRDefault="004348C4" w:rsidP="00A90BF7">
            <w:pPr>
              <w:autoSpaceDE w:val="0"/>
              <w:autoSpaceDN w:val="0"/>
              <w:ind w:left="113" w:right="113"/>
              <w:jc w:val="both"/>
              <w:rPr>
                <w:rFonts w:eastAsia="Calibri" w:cs="Arial"/>
                <w:b/>
                <w:bCs/>
                <w:color w:val="000000"/>
                <w:szCs w:val="20"/>
                <w:lang w:eastAsia="en-AU"/>
              </w:rPr>
            </w:pPr>
            <w:r w:rsidRPr="004348C4">
              <w:rPr>
                <w:rFonts w:eastAsia="Calibri" w:cs="Arial"/>
                <w:color w:val="000000"/>
                <w:szCs w:val="20"/>
                <w:lang w:eastAsia="en-AU"/>
              </w:rPr>
              <w:t>No acceptable outcome.</w:t>
            </w:r>
          </w:p>
        </w:tc>
        <w:tc>
          <w:tcPr>
            <w:tcW w:w="6804" w:type="dxa"/>
          </w:tcPr>
          <w:p w14:paraId="05422C99" w14:textId="77777777" w:rsidR="004348C4" w:rsidRPr="004348C4" w:rsidRDefault="004348C4" w:rsidP="004348C4">
            <w:pPr>
              <w:autoSpaceDE w:val="0"/>
              <w:autoSpaceDN w:val="0"/>
              <w:ind w:left="113" w:right="113"/>
              <w:rPr>
                <w:rFonts w:eastAsia="Calibri" w:cs="Arial"/>
                <w:b/>
                <w:bCs/>
                <w:color w:val="000000"/>
                <w:szCs w:val="20"/>
                <w:lang w:eastAsia="en-AU"/>
              </w:rPr>
            </w:pPr>
          </w:p>
        </w:tc>
      </w:tr>
      <w:tr w:rsidR="00EC4039" w:rsidRPr="004348C4" w14:paraId="02C04A46" w14:textId="23819005" w:rsidTr="004029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5309" w:type="dxa"/>
            <w:gridSpan w:val="3"/>
          </w:tcPr>
          <w:p w14:paraId="3C7EDEDE" w14:textId="2400A62A" w:rsidR="00EC4039" w:rsidRPr="004348C4" w:rsidRDefault="00EC4039" w:rsidP="004348C4">
            <w:pPr>
              <w:autoSpaceDE w:val="0"/>
              <w:autoSpaceDN w:val="0"/>
              <w:ind w:left="113" w:right="113"/>
              <w:rPr>
                <w:rFonts w:eastAsia="Calibri" w:cs="Arial"/>
                <w:b/>
                <w:bCs/>
                <w:color w:val="000000"/>
                <w:szCs w:val="20"/>
                <w:lang w:eastAsia="en-AU"/>
              </w:rPr>
            </w:pPr>
            <w:r w:rsidRPr="004348C4">
              <w:rPr>
                <w:rFonts w:eastAsia="Calibri" w:cs="Arial"/>
                <w:b/>
                <w:bCs/>
                <w:color w:val="000000"/>
                <w:szCs w:val="20"/>
                <w:lang w:eastAsia="en-AU"/>
              </w:rPr>
              <w:t>End of Life and Site Remediation</w:t>
            </w:r>
          </w:p>
        </w:tc>
      </w:tr>
      <w:tr w:rsidR="004348C4" w:rsidRPr="004348C4" w14:paraId="5B4CC15C" w14:textId="45BDEEAF" w:rsidTr="00A90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670" w:type="dxa"/>
          </w:tcPr>
          <w:p w14:paraId="25EE0C3D" w14:textId="77777777" w:rsidR="004348C4" w:rsidRPr="004348C4" w:rsidRDefault="004348C4" w:rsidP="00A90BF7">
            <w:pPr>
              <w:autoSpaceDE w:val="0"/>
              <w:autoSpaceDN w:val="0"/>
              <w:ind w:left="113" w:right="113"/>
              <w:jc w:val="both"/>
              <w:rPr>
                <w:rFonts w:eastAsia="Calibri" w:cs="Arial"/>
                <w:b/>
                <w:bCs/>
                <w:color w:val="000000"/>
                <w:szCs w:val="20"/>
                <w:lang w:eastAsia="en-AU"/>
              </w:rPr>
            </w:pPr>
            <w:r w:rsidRPr="004348C4">
              <w:rPr>
                <w:rFonts w:eastAsia="Calibri" w:cs="Arial"/>
                <w:b/>
                <w:bCs/>
                <w:color w:val="000000"/>
                <w:szCs w:val="20"/>
                <w:lang w:eastAsia="en-AU"/>
              </w:rPr>
              <w:t>PO3</w:t>
            </w:r>
          </w:p>
          <w:p w14:paraId="38584B77" w14:textId="77777777" w:rsidR="004348C4" w:rsidRPr="004348C4" w:rsidRDefault="004348C4" w:rsidP="00A90BF7">
            <w:pPr>
              <w:autoSpaceDE w:val="0"/>
              <w:autoSpaceDN w:val="0"/>
              <w:ind w:left="113" w:right="113"/>
              <w:jc w:val="both"/>
              <w:rPr>
                <w:rFonts w:eastAsia="Calibri" w:cs="Arial"/>
                <w:b/>
                <w:bCs/>
                <w:color w:val="000000"/>
                <w:szCs w:val="20"/>
                <w:lang w:eastAsia="en-AU"/>
              </w:rPr>
            </w:pPr>
            <w:r w:rsidRPr="004348C4">
              <w:rPr>
                <w:rFonts w:eastAsia="Calibri" w:cs="Arial"/>
                <w:color w:val="000000"/>
                <w:szCs w:val="20"/>
                <w:lang w:eastAsia="en-AU"/>
              </w:rPr>
              <w:t>Battery storage facilities are designed to ensure forward planning for end-of-life disposal and site remediation measures.</w:t>
            </w:r>
          </w:p>
        </w:tc>
        <w:tc>
          <w:tcPr>
            <w:tcW w:w="2835" w:type="dxa"/>
          </w:tcPr>
          <w:p w14:paraId="2E53F3C4" w14:textId="77777777" w:rsidR="004348C4" w:rsidRPr="004348C4" w:rsidRDefault="004348C4" w:rsidP="00A90BF7">
            <w:pPr>
              <w:autoSpaceDE w:val="0"/>
              <w:autoSpaceDN w:val="0"/>
              <w:ind w:left="113" w:right="113"/>
              <w:jc w:val="both"/>
              <w:rPr>
                <w:rFonts w:eastAsia="Calibri" w:cs="Arial"/>
                <w:color w:val="000000"/>
                <w:szCs w:val="20"/>
                <w:lang w:eastAsia="en-AU"/>
              </w:rPr>
            </w:pPr>
            <w:r w:rsidRPr="004348C4">
              <w:rPr>
                <w:rFonts w:eastAsia="Calibri" w:cs="Arial"/>
                <w:b/>
                <w:bCs/>
                <w:color w:val="000000"/>
                <w:szCs w:val="20"/>
                <w:lang w:eastAsia="en-AU"/>
              </w:rPr>
              <w:t>AO3</w:t>
            </w:r>
          </w:p>
          <w:p w14:paraId="65BB7061" w14:textId="77777777" w:rsidR="004348C4" w:rsidRPr="004348C4" w:rsidRDefault="004348C4" w:rsidP="00A90BF7">
            <w:pPr>
              <w:autoSpaceDE w:val="0"/>
              <w:autoSpaceDN w:val="0"/>
              <w:ind w:left="113" w:right="113"/>
              <w:jc w:val="both"/>
              <w:rPr>
                <w:rFonts w:eastAsia="Calibri" w:cs="Arial"/>
                <w:color w:val="000000"/>
                <w:szCs w:val="20"/>
                <w:lang w:eastAsia="en-AU"/>
              </w:rPr>
            </w:pPr>
            <w:r w:rsidRPr="004348C4">
              <w:rPr>
                <w:rFonts w:eastAsia="Calibri" w:cs="Arial"/>
                <w:color w:val="000000"/>
                <w:szCs w:val="20"/>
                <w:lang w:eastAsia="en-AU"/>
              </w:rPr>
              <w:t>No acceptable outcome.</w:t>
            </w:r>
          </w:p>
          <w:p w14:paraId="62D332B2" w14:textId="77777777" w:rsidR="004348C4" w:rsidRPr="004348C4" w:rsidRDefault="004348C4" w:rsidP="00A90BF7">
            <w:pPr>
              <w:autoSpaceDE w:val="0"/>
              <w:autoSpaceDN w:val="0"/>
              <w:ind w:left="113" w:right="113"/>
              <w:jc w:val="both"/>
              <w:rPr>
                <w:rFonts w:eastAsia="Calibri" w:cs="Arial"/>
                <w:b/>
                <w:bCs/>
                <w:color w:val="000000"/>
                <w:szCs w:val="20"/>
                <w:lang w:eastAsia="en-AU"/>
              </w:rPr>
            </w:pPr>
          </w:p>
        </w:tc>
        <w:tc>
          <w:tcPr>
            <w:tcW w:w="6804" w:type="dxa"/>
          </w:tcPr>
          <w:p w14:paraId="227A83B9" w14:textId="77777777" w:rsidR="004348C4" w:rsidRPr="004348C4" w:rsidRDefault="004348C4" w:rsidP="004348C4">
            <w:pPr>
              <w:autoSpaceDE w:val="0"/>
              <w:autoSpaceDN w:val="0"/>
              <w:ind w:left="113" w:right="113"/>
              <w:rPr>
                <w:rFonts w:eastAsia="Calibri" w:cs="Arial"/>
                <w:b/>
                <w:bCs/>
                <w:color w:val="000000"/>
                <w:szCs w:val="20"/>
                <w:lang w:eastAsia="en-AU"/>
              </w:rPr>
            </w:pPr>
          </w:p>
        </w:tc>
      </w:tr>
    </w:tbl>
    <w:p w14:paraId="50ACBCFB" w14:textId="77777777" w:rsidR="009037DE" w:rsidRPr="009037DE" w:rsidRDefault="009037DE" w:rsidP="009037DE">
      <w:pPr>
        <w:tabs>
          <w:tab w:val="left" w:pos="3271"/>
        </w:tabs>
      </w:pPr>
    </w:p>
    <w:sectPr w:rsidR="009037DE" w:rsidRPr="009037DE" w:rsidSect="00BA6927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2825" w14:textId="77777777" w:rsidR="004A3227" w:rsidRDefault="004A3227" w:rsidP="00BA6927">
      <w:r>
        <w:separator/>
      </w:r>
    </w:p>
  </w:endnote>
  <w:endnote w:type="continuationSeparator" w:id="0">
    <w:p w14:paraId="1ED8E25A" w14:textId="77777777" w:rsidR="004A3227" w:rsidRDefault="004A3227" w:rsidP="00BA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3E6E3" w14:textId="45BE0BAE" w:rsidR="00BA6927" w:rsidRDefault="00BA6927">
    <w:pPr>
      <w:pStyle w:val="Footer"/>
      <w:rPr>
        <w:rStyle w:val="normaltextrun"/>
        <w:rFonts w:cs="Arial"/>
        <w:color w:val="000000"/>
        <w:szCs w:val="20"/>
        <w:shd w:val="clear" w:color="auto" w:fill="FFFFFF"/>
      </w:rPr>
    </w:pPr>
    <w:r>
      <w:rPr>
        <w:rStyle w:val="normaltextrun"/>
        <w:rFonts w:cs="Arial"/>
        <w:color w:val="000000"/>
        <w:szCs w:val="20"/>
        <w:shd w:val="clear" w:color="auto" w:fill="FFFFFF"/>
      </w:rPr>
      <w:t>Western Downs Planning Scheme 2017 incorporating Amendment 2</w:t>
    </w:r>
  </w:p>
  <w:p w14:paraId="30CFB4A0" w14:textId="2B51222A" w:rsidR="00BA6927" w:rsidRDefault="00BA6927">
    <w:pPr>
      <w:pStyle w:val="Foot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6298646C" wp14:editId="2C40DB9E">
          <wp:extent cx="9779000" cy="289110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0" cy="28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B1885" w14:textId="77777777" w:rsidR="004A3227" w:rsidRDefault="004A3227" w:rsidP="00BA6927">
      <w:r>
        <w:separator/>
      </w:r>
    </w:p>
  </w:footnote>
  <w:footnote w:type="continuationSeparator" w:id="0">
    <w:p w14:paraId="08F008B5" w14:textId="77777777" w:rsidR="004A3227" w:rsidRDefault="004A3227" w:rsidP="00BA6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C89C" w14:textId="7355D422" w:rsidR="00BA6927" w:rsidRPr="008052EA" w:rsidRDefault="00BA6927">
    <w:pPr>
      <w:pStyle w:val="Header"/>
      <w:rPr>
        <w:b/>
        <w:bCs/>
      </w:rPr>
    </w:pPr>
    <w:r w:rsidRPr="001E3D45">
      <w:rPr>
        <w:noProof/>
      </w:rPr>
      <w:drawing>
        <wp:inline distT="0" distB="0" distL="0" distR="0" wp14:anchorId="0283F423" wp14:editId="1B399704">
          <wp:extent cx="723265" cy="954405"/>
          <wp:effectExtent l="0" t="0" r="635" b="0"/>
          <wp:docPr id="1080722222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3D45">
      <w:rPr>
        <w:b/>
        <w:bCs/>
        <w:i/>
        <w:iCs/>
      </w:rPr>
      <w:tab/>
    </w:r>
    <w:r w:rsidR="001E3D45" w:rsidRPr="008052EA">
      <w:rPr>
        <w:b/>
        <w:bCs/>
        <w:i/>
        <w:iCs/>
      </w:rPr>
      <w:t xml:space="preserve">Table </w:t>
    </w:r>
    <w:r w:rsidR="008D431C">
      <w:rPr>
        <w:b/>
        <w:bCs/>
        <w:i/>
        <w:iCs/>
      </w:rPr>
      <w:t>9</w:t>
    </w:r>
    <w:r w:rsidR="00194361" w:rsidRPr="008052EA">
      <w:rPr>
        <w:b/>
        <w:bCs/>
        <w:i/>
        <w:iCs/>
      </w:rPr>
      <w:t>.2.</w:t>
    </w:r>
    <w:r w:rsidR="00DA0753">
      <w:rPr>
        <w:b/>
        <w:bCs/>
        <w:i/>
        <w:iCs/>
      </w:rPr>
      <w:t>2</w:t>
    </w:r>
    <w:r w:rsidR="00194361" w:rsidRPr="008052EA">
      <w:rPr>
        <w:b/>
        <w:bCs/>
        <w:i/>
        <w:iCs/>
      </w:rPr>
      <w:t xml:space="preserve">.1 </w:t>
    </w:r>
    <w:r w:rsidR="00DA0753">
      <w:rPr>
        <w:b/>
        <w:bCs/>
        <w:i/>
        <w:iCs/>
      </w:rPr>
      <w:t xml:space="preserve">Battery Storage Facility </w:t>
    </w:r>
    <w:r w:rsidRPr="008052EA">
      <w:rPr>
        <w:b/>
        <w:bCs/>
        <w:i/>
        <w:iCs/>
      </w:rPr>
      <w:t>Code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7286E"/>
    <w:multiLevelType w:val="hybridMultilevel"/>
    <w:tmpl w:val="EBBAEF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5E5357"/>
    <w:multiLevelType w:val="hybridMultilevel"/>
    <w:tmpl w:val="E45C46FA"/>
    <w:lvl w:ilvl="0" w:tplc="0BFE509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F227D0"/>
    <w:multiLevelType w:val="hybridMultilevel"/>
    <w:tmpl w:val="3416911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8642C"/>
    <w:multiLevelType w:val="hybridMultilevel"/>
    <w:tmpl w:val="E118DC34"/>
    <w:lvl w:ilvl="0" w:tplc="DF6AA2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9124573">
    <w:abstractNumId w:val="3"/>
  </w:num>
  <w:num w:numId="2" w16cid:durableId="1697389609">
    <w:abstractNumId w:val="0"/>
  </w:num>
  <w:num w:numId="3" w16cid:durableId="826362124">
    <w:abstractNumId w:val="1"/>
  </w:num>
  <w:num w:numId="4" w16cid:durableId="492333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27"/>
    <w:rsid w:val="00020E4B"/>
    <w:rsid w:val="000616A5"/>
    <w:rsid w:val="00077D1E"/>
    <w:rsid w:val="000A6E58"/>
    <w:rsid w:val="001106FF"/>
    <w:rsid w:val="00110C7B"/>
    <w:rsid w:val="00121F0F"/>
    <w:rsid w:val="00187F1B"/>
    <w:rsid w:val="00192298"/>
    <w:rsid w:val="00194361"/>
    <w:rsid w:val="001E3D45"/>
    <w:rsid w:val="002104C4"/>
    <w:rsid w:val="0023056D"/>
    <w:rsid w:val="002324CE"/>
    <w:rsid w:val="00261828"/>
    <w:rsid w:val="002B2F7E"/>
    <w:rsid w:val="002C6F4E"/>
    <w:rsid w:val="002D4E21"/>
    <w:rsid w:val="00357D0F"/>
    <w:rsid w:val="00366E94"/>
    <w:rsid w:val="003B4656"/>
    <w:rsid w:val="003B744D"/>
    <w:rsid w:val="003C58FD"/>
    <w:rsid w:val="003E6F49"/>
    <w:rsid w:val="00412F7A"/>
    <w:rsid w:val="004348C4"/>
    <w:rsid w:val="00464A66"/>
    <w:rsid w:val="00484CE2"/>
    <w:rsid w:val="004A3227"/>
    <w:rsid w:val="004B0547"/>
    <w:rsid w:val="004B547C"/>
    <w:rsid w:val="004D643A"/>
    <w:rsid w:val="004E7047"/>
    <w:rsid w:val="004F6B37"/>
    <w:rsid w:val="005374C8"/>
    <w:rsid w:val="005562A0"/>
    <w:rsid w:val="00556713"/>
    <w:rsid w:val="005A5523"/>
    <w:rsid w:val="005B2438"/>
    <w:rsid w:val="005B7742"/>
    <w:rsid w:val="005D178C"/>
    <w:rsid w:val="00633569"/>
    <w:rsid w:val="006519C1"/>
    <w:rsid w:val="006740D2"/>
    <w:rsid w:val="0067712A"/>
    <w:rsid w:val="006A298E"/>
    <w:rsid w:val="006F353D"/>
    <w:rsid w:val="007113DB"/>
    <w:rsid w:val="00714069"/>
    <w:rsid w:val="00742DDF"/>
    <w:rsid w:val="00750CDC"/>
    <w:rsid w:val="007524E9"/>
    <w:rsid w:val="007E3B71"/>
    <w:rsid w:val="00802170"/>
    <w:rsid w:val="0080305B"/>
    <w:rsid w:val="008052EA"/>
    <w:rsid w:val="00814221"/>
    <w:rsid w:val="008241F5"/>
    <w:rsid w:val="00824C7E"/>
    <w:rsid w:val="00827039"/>
    <w:rsid w:val="00866D6D"/>
    <w:rsid w:val="00880E33"/>
    <w:rsid w:val="008B3915"/>
    <w:rsid w:val="008D431C"/>
    <w:rsid w:val="008D47F8"/>
    <w:rsid w:val="009037DE"/>
    <w:rsid w:val="009A5A2A"/>
    <w:rsid w:val="009A5ACA"/>
    <w:rsid w:val="009C687D"/>
    <w:rsid w:val="009E4054"/>
    <w:rsid w:val="009F3FE7"/>
    <w:rsid w:val="00A52AC8"/>
    <w:rsid w:val="00A90BF7"/>
    <w:rsid w:val="00A92303"/>
    <w:rsid w:val="00AA0686"/>
    <w:rsid w:val="00AB2217"/>
    <w:rsid w:val="00AB31D0"/>
    <w:rsid w:val="00AD6ABF"/>
    <w:rsid w:val="00B25AB5"/>
    <w:rsid w:val="00B425EA"/>
    <w:rsid w:val="00B94772"/>
    <w:rsid w:val="00BA6927"/>
    <w:rsid w:val="00BC028A"/>
    <w:rsid w:val="00BC3AA4"/>
    <w:rsid w:val="00C1751C"/>
    <w:rsid w:val="00C43A90"/>
    <w:rsid w:val="00C63355"/>
    <w:rsid w:val="00C64B55"/>
    <w:rsid w:val="00C8661D"/>
    <w:rsid w:val="00C97543"/>
    <w:rsid w:val="00D007B5"/>
    <w:rsid w:val="00D404A0"/>
    <w:rsid w:val="00D50402"/>
    <w:rsid w:val="00D96C62"/>
    <w:rsid w:val="00DA0753"/>
    <w:rsid w:val="00E31CD9"/>
    <w:rsid w:val="00E372E7"/>
    <w:rsid w:val="00E54210"/>
    <w:rsid w:val="00EC4039"/>
    <w:rsid w:val="00EE7D5C"/>
    <w:rsid w:val="00F25667"/>
    <w:rsid w:val="00F43AC7"/>
    <w:rsid w:val="00F474BD"/>
    <w:rsid w:val="00F55406"/>
    <w:rsid w:val="00FA5BF8"/>
    <w:rsid w:val="00FB2034"/>
    <w:rsid w:val="00FD08F6"/>
    <w:rsid w:val="00FE1ED3"/>
    <w:rsid w:val="00FE4C69"/>
    <w:rsid w:val="092ACC30"/>
    <w:rsid w:val="188775A3"/>
    <w:rsid w:val="36FE45F8"/>
    <w:rsid w:val="640B11E4"/>
    <w:rsid w:val="7CC7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836AE"/>
  <w15:chartTrackingRefBased/>
  <w15:docId w15:val="{6F984F73-AF2B-4F61-A14E-97BBF743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039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713"/>
    <w:pPr>
      <w:keepNext/>
      <w:keepLines/>
      <w:spacing w:before="480"/>
      <w:outlineLvl w:val="0"/>
    </w:pPr>
    <w:rPr>
      <w:rFonts w:eastAsiaTheme="majorEastAsia" w:cstheme="majorBidi"/>
      <w:b/>
      <w:bCs/>
      <w:i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713"/>
    <w:pPr>
      <w:keepNext/>
      <w:keepLines/>
      <w:spacing w:before="24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6713"/>
    <w:pPr>
      <w:keepNext/>
      <w:keepLines/>
      <w:spacing w:before="200"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A69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9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9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9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9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9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71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713"/>
    <w:rPr>
      <w:rFonts w:ascii="Arial" w:eastAsiaTheme="majorEastAsia" w:hAnsi="Arial" w:cstheme="majorBidi"/>
      <w:b/>
      <w:bCs/>
      <w:i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6713"/>
    <w:rPr>
      <w:rFonts w:ascii="Arial" w:eastAsiaTheme="majorEastAsia" w:hAnsi="Arial" w:cstheme="majorBidi"/>
      <w:b/>
      <w:bCs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567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67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556713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927"/>
    <w:rPr>
      <w:rFonts w:eastAsiaTheme="majorEastAsia" w:cstheme="majorBidi"/>
      <w:i/>
      <w:iCs/>
      <w:color w:val="365F9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927"/>
    <w:rPr>
      <w:rFonts w:eastAsiaTheme="majorEastAsia" w:cstheme="majorBidi"/>
      <w:color w:val="365F9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927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927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927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927"/>
    <w:rPr>
      <w:rFonts w:eastAsiaTheme="majorEastAsia" w:cstheme="majorBidi"/>
      <w:color w:val="272727" w:themeColor="text1" w:themeTint="D8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9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9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927"/>
    <w:rPr>
      <w:rFonts w:ascii="Arial" w:hAnsi="Arial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BA6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92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92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927"/>
    <w:rPr>
      <w:rFonts w:ascii="Arial" w:hAnsi="Arial"/>
      <w:i/>
      <w:iCs/>
      <w:color w:val="365F9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BA692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9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927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BA69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927"/>
    <w:rPr>
      <w:rFonts w:ascii="Arial" w:hAnsi="Arial"/>
      <w:sz w:val="20"/>
    </w:rPr>
  </w:style>
  <w:style w:type="character" w:customStyle="1" w:styleId="normaltextrun">
    <w:name w:val="normaltextrun"/>
    <w:basedOn w:val="DefaultParagraphFont"/>
    <w:rsid w:val="00BA6927"/>
  </w:style>
  <w:style w:type="character" w:customStyle="1" w:styleId="wacimagecontainer">
    <w:name w:val="wacimagecontainer"/>
    <w:basedOn w:val="DefaultParagraphFont"/>
    <w:rsid w:val="00BA6927"/>
  </w:style>
  <w:style w:type="paragraph" w:customStyle="1" w:styleId="TableParagraph">
    <w:name w:val="Table Paragraph"/>
    <w:basedOn w:val="Normal"/>
    <w:uiPriority w:val="1"/>
    <w:qFormat/>
    <w:rsid w:val="00A52AC8"/>
    <w:rPr>
      <w:rFonts w:cs="Arial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f4ee4791094b10ba45d2a6b8881eab xmlns="http://schemas.microsoft.com/sharepoint/v3">
      <Terms xmlns="http://schemas.microsoft.com/office/infopath/2007/PartnerControls"/>
    </fbf4ee4791094b10ba45d2a6b8881eab>
    <e458bd969d554ede9f96bc7654b3db2e xmlns="http://schemas.microsoft.com/sharepoint/v3">
      <Terms xmlns="http://schemas.microsoft.com/office/infopath/2007/PartnerControls"/>
    </e458bd969d554ede9f96bc7654b3db2e>
    <lcf76f155ced4ddcb4097134ff3c332f xmlns="a2020b65-9c0b-4b74-9182-9ff215772a0c">
      <Terms xmlns="http://schemas.microsoft.com/office/infopath/2007/PartnerControls"/>
    </lcf76f155ced4ddcb4097134ff3c332f>
    <TaxCatchAll xmlns="a5185c80-ba22-46da-a0c3-f76a6db09c0b" xsi:nil="true"/>
    <paef67daf2524f57a34527d2b9b6924f xmlns="a5185c80-ba22-46da-a0c3-f76a6db09c0b">
      <Terms xmlns="http://schemas.microsoft.com/office/infopath/2007/PartnerControls"/>
    </paef67daf2524f57a34527d2b9b6924f>
    <ac4d8d4edc4e4bbc96ea6d742262e422 xmlns="http://schemas.microsoft.com/sharepoint/v3">
      <Terms xmlns="http://schemas.microsoft.com/office/infopath/2007/PartnerControls"/>
    </ac4d8d4edc4e4bbc96ea6d742262e422>
    <n154bfaa042446e1873c36b030d96572 xmlns="http://schemas.microsoft.com/sharepoint/v3">
      <Terms xmlns="http://schemas.microsoft.com/office/infopath/2007/PartnerControls"/>
    </n154bfaa042446e1873c36b030d96572>
    <g072d901cdbd4c0daa50c2b9827649ed xmlns="http://schemas.microsoft.com/sharepoint/v3">
      <Terms xmlns="http://schemas.microsoft.com/office/infopath/2007/PartnerControls"/>
    </g072d901cdbd4c0daa50c2b9827649ed>
    <a06e593cb8d4461091199b17c33719a2 xmlns="http://schemas.microsoft.com/sharepoint/v3">
      <Terms xmlns="http://schemas.microsoft.com/office/infopath/2007/PartnerControls"/>
    </a06e593cb8d4461091199b17c33719a2>
    <o7fc12a2bb3d48bc9154e8faf39155f7 xmlns="http://schemas.microsoft.com/sharepoint/v3">
      <Terms xmlns="http://schemas.microsoft.com/office/infopath/2007/PartnerControls"/>
    </o7fc12a2bb3d48bc9154e8faf39155f7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DRC Document" ma:contentTypeID="0x010100203655BA52479242887340A5387A6136002EF9F6DE6B45144187D24C0096D5AC9D" ma:contentTypeVersion="27" ma:contentTypeDescription="Create a WDRC document" ma:contentTypeScope="" ma:versionID="e112b25b2d83b44ac1d10e604b455347">
  <xsd:schema xmlns:xsd="http://www.w3.org/2001/XMLSchema" xmlns:xs="http://www.w3.org/2001/XMLSchema" xmlns:p="http://schemas.microsoft.com/office/2006/metadata/properties" xmlns:ns1="http://schemas.microsoft.com/sharepoint/v3" xmlns:ns2="a5185c80-ba22-46da-a0c3-f76a6db09c0b" xmlns:ns3="a2020b65-9c0b-4b74-9182-9ff215772a0c" targetNamespace="http://schemas.microsoft.com/office/2006/metadata/properties" ma:root="true" ma:fieldsID="7d2ffd7954979897a8ed820a1f377e06" ns1:_="" ns2:_="" ns3:_="">
    <xsd:import namespace="http://schemas.microsoft.com/sharepoint/v3"/>
    <xsd:import namespace="a5185c80-ba22-46da-a0c3-f76a6db09c0b"/>
    <xsd:import namespace="a2020b65-9c0b-4b74-9182-9ff215772a0c"/>
    <xsd:element name="properties">
      <xsd:complexType>
        <xsd:sequence>
          <xsd:element name="documentManagement">
            <xsd:complexType>
              <xsd:all>
                <xsd:element ref="ns1:e458bd969d554ede9f96bc7654b3db2e" minOccurs="0"/>
                <xsd:element ref="ns2:TaxCatchAll" minOccurs="0"/>
                <xsd:element ref="ns2:TaxCatchAllLabel" minOccurs="0"/>
                <xsd:element ref="ns1:o7fc12a2bb3d48bc9154e8faf39155f7" minOccurs="0"/>
                <xsd:element ref="ns1:g072d901cdbd4c0daa50c2b9827649ed" minOccurs="0"/>
                <xsd:element ref="ns1:fbf4ee4791094b10ba45d2a6b8881eab" minOccurs="0"/>
                <xsd:element ref="ns1:a06e593cb8d4461091199b17c33719a2" minOccurs="0"/>
                <xsd:element ref="ns1:ac4d8d4edc4e4bbc96ea6d742262e422" minOccurs="0"/>
                <xsd:element ref="ns1:n154bfaa042446e1873c36b030d96572" minOccurs="0"/>
                <xsd:element ref="ns2:paef67daf2524f57a34527d2b9b6924f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458bd969d554ede9f96bc7654b3db2e" ma:index="8" nillable="true" ma:taxonomy="true" ma:internalName="e458bd969d554ede9f96bc7654b3db2e" ma:taxonomyFieldName="WDRCFunction" ma:displayName="WDRC Function" ma:default="" ma:fieldId="{e458bd96-9d55-4ede-9f96-bc7654b3db2e}" ma:sspId="fc5f5596-49e4-4d1b-8c17-782bd9155381" ma:termSetId="9ab2d43b-2e7d-4b79-aa23-f2c8bfc23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fc12a2bb3d48bc9154e8faf39155f7" ma:index="12" nillable="true" ma:taxonomy="true" ma:internalName="o7fc12a2bb3d48bc9154e8faf39155f7" ma:taxonomyFieldName="WDRCLocation" ma:displayName="WDRC Location" ma:default="" ma:fieldId="{87fc12a2-bb3d-48bc-9154-e8faf39155f7}" ma:sspId="fc5f5596-49e4-4d1b-8c17-782bd9155381" ma:termSetId="04d6061a-27c4-4f81-b243-cd52dd585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072d901cdbd4c0daa50c2b9827649ed" ma:index="14" nillable="true" ma:taxonomy="true" ma:internalName="g072d901cdbd4c0daa50c2b9827649ed" ma:taxonomyFieldName="WDRCTopic" ma:displayName="Topic" ma:default="" ma:fieldId="{0072d901-cdbd-4c0d-aa50-c2b9827649ed}" ma:sspId="fc5f5596-49e4-4d1b-8c17-782bd9155381" ma:termSetId="58c1fa3e-f019-40fa-a4ea-363ae0b4cd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f4ee4791094b10ba45d2a6b8881eab" ma:index="16" nillable="true" ma:taxonomy="true" ma:internalName="fbf4ee4791094b10ba45d2a6b8881eab" ma:taxonomyFieldName="WDRCTeam" ma:displayName="WDRC Team" ma:default="" ma:fieldId="{fbf4ee47-9109-4b10-ba45-d2a6b8881eab}" ma:sspId="fc5f5596-49e4-4d1b-8c17-782bd9155381" ma:termSetId="cc5e43f6-e657-417e-9378-17d853386c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6e593cb8d4461091199b17c33719a2" ma:index="18" nillable="true" ma:taxonomy="true" ma:internalName="a06e593cb8d4461091199b17c33719a2" ma:taxonomyFieldName="WDRCDivision" ma:displayName="WDRC Division" ma:default="" ma:fieldId="{a06e593c-b8d4-4610-9119-9b17c33719a2}" ma:sspId="fc5f5596-49e4-4d1b-8c17-782bd9155381" ma:termSetId="50388798-186f-495e-8322-88644abe90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4d8d4edc4e4bbc96ea6d742262e422" ma:index="20" nillable="true" ma:taxonomy="true" ma:internalName="ac4d8d4edc4e4bbc96ea6d742262e422" ma:taxonomyFieldName="WDRCFinancialYear" ma:displayName="Financial Year" ma:default="" ma:fieldId="{ac4d8d4e-dc4e-4bbc-96ea-6d742262e422}" ma:sspId="fc5f5596-49e4-4d1b-8c17-782bd9155381" ma:termSetId="7040e64f-887f-4a10-8d51-a17e7d6a59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54bfaa042446e1873c36b030d96572" ma:index="22" nillable="true" ma:taxonomy="true" ma:internalName="n154bfaa042446e1873c36b030d96572" ma:taxonomyFieldName="WDRCDocumentType" ma:displayName="Document Type" ma:default="" ma:fieldId="{7154bfaa-0424-46e1-873c-36b030d96572}" ma:sspId="fc5f5596-49e4-4d1b-8c17-782bd9155381" ma:termSetId="b471663b-3068-449a-9948-e5b1051b2ee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85c80-ba22-46da-a0c3-f76a6db09c0b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e3bc22a1-dba5-4be1-a1bc-a7b6aa4b3ab7}" ma:internalName="TaxCatchAll" ma:showField="CatchAllData" ma:web="a5185c80-ba22-46da-a0c3-f76a6db09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bc22a1-dba5-4be1-a1bc-a7b6aa4b3ab7}" ma:internalName="TaxCatchAllLabel" ma:readOnly="true" ma:showField="CatchAllDataLabel" ma:web="a5185c80-ba22-46da-a0c3-f76a6db09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ef67daf2524f57a34527d2b9b6924f" ma:index="25" nillable="true" ma:taxonomy="true" ma:internalName="paef67daf2524f57a34527d2b9b6924f" ma:taxonomyFieldName="Calendar_x0020_Year" ma:displayName="Calendar Year" ma:default="" ma:fieldId="{9aef67da-f252-4f57-a345-27d2b9b6924f}" ma:sspId="fc5f5596-49e4-4d1b-8c17-782bd9155381" ma:termSetId="0e14de43-6bb6-4d35-b1a9-4e4013a72f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20b65-9c0b-4b74-9182-9ff215772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fc5f5596-49e4-4d1b-8c17-782bd91553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96729-E476-4856-BE47-C687F216C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F6A712-E0E8-4F55-A1D9-08D77FC057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1CFB11-ED29-4D5F-9234-909D4ACDB2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020b65-9c0b-4b74-9182-9ff215772a0c"/>
    <ds:schemaRef ds:uri="a5185c80-ba22-46da-a0c3-f76a6db09c0b"/>
  </ds:schemaRefs>
</ds:datastoreItem>
</file>

<file path=customXml/itemProps4.xml><?xml version="1.0" encoding="utf-8"?>
<ds:datastoreItem xmlns:ds="http://schemas.openxmlformats.org/officeDocument/2006/customXml" ds:itemID="{6CE42373-D300-48EE-B081-96161E352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185c80-ba22-46da-a0c3-f76a6db09c0b"/>
    <ds:schemaRef ds:uri="a2020b65-9c0b-4b74-9182-9ff215772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Downs Regional Council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Cameron</dc:creator>
  <cp:keywords/>
  <dc:description/>
  <cp:lastModifiedBy>Janelle Mager</cp:lastModifiedBy>
  <cp:revision>6</cp:revision>
  <dcterms:created xsi:type="dcterms:W3CDTF">2025-08-21T21:33:00Z</dcterms:created>
  <dcterms:modified xsi:type="dcterms:W3CDTF">2025-09-11T07:39:00Z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0x010100203655BA52479242887340A5387A6136002EF9F6DE6B45144187D24C0096D5AC9D</vt:lpwstr>
  </property>
  <property fmtid="{D5CDD505-2E9C-101B-9397-08002B2CF9AE}" pid="3" name="MediaServiceImageTags">
    <vt:lpwstr/>
  </property>
  <property fmtid="{D5CDD505-2E9C-101B-9397-08002B2CF9AE}" pid="4" name="WDRCTopic">
    <vt:lpwstr/>
  </property>
  <property fmtid="{D5CDD505-2E9C-101B-9397-08002B2CF9AE}" pid="5" name="WDRCFinancialYear">
    <vt:lpwstr/>
  </property>
  <property fmtid="{D5CDD505-2E9C-101B-9397-08002B2CF9AE}" pid="6" name="WDRCDocumentType">
    <vt:lpwstr/>
  </property>
  <property fmtid="{D5CDD505-2E9C-101B-9397-08002B2CF9AE}" pid="7" name="WDRCTeam">
    <vt:lpwstr/>
  </property>
  <property fmtid="{D5CDD505-2E9C-101B-9397-08002B2CF9AE}" pid="8" name="WDRCLocation">
    <vt:lpwstr/>
  </property>
  <property fmtid="{D5CDD505-2E9C-101B-9397-08002B2CF9AE}" pid="9" name="WDRCFunction">
    <vt:lpwstr/>
  </property>
  <property fmtid="{D5CDD505-2E9C-101B-9397-08002B2CF9AE}" pid="10" name="Calendar_x0020_Year">
    <vt:lpwstr/>
  </property>
  <property fmtid="{D5CDD505-2E9C-101B-9397-08002B2CF9AE}" pid="11" name="WDRCDivision">
    <vt:lpwstr/>
  </property>
  <property fmtid="{D5CDD505-2E9C-101B-9397-08002B2CF9AE}" pid="12" name="Calendar Year">
    <vt:lpwstr/>
  </property>
</Properties>
</file>