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3E79" w14:textId="54CFAEE7" w:rsidR="00BA6927" w:rsidRPr="00BA6927" w:rsidRDefault="006E1597" w:rsidP="00BA6927">
      <w:pPr>
        <w:rPr>
          <w:rFonts w:eastAsia="Calibri" w:cs="Arial"/>
          <w:b/>
          <w:bCs/>
          <w:szCs w:val="20"/>
          <w:lang w:val="en-US"/>
        </w:rPr>
      </w:pPr>
      <w:r w:rsidRPr="00F760FE">
        <w:rPr>
          <w:rFonts w:eastAsia="Calibri" w:cs="Arial"/>
          <w:b/>
          <w:bCs/>
          <w:szCs w:val="20"/>
          <w:lang w:val="en-US"/>
        </w:rPr>
        <w:t xml:space="preserve">Table 6.2.3.1 Local centre zone </w:t>
      </w:r>
      <w:r w:rsidR="00BA6927" w:rsidRPr="00F760FE">
        <w:rPr>
          <w:rFonts w:eastAsia="Calibri" w:cs="Arial"/>
          <w:b/>
          <w:bCs/>
          <w:szCs w:val="20"/>
          <w:lang w:val="en-US"/>
        </w:rPr>
        <w:t>code</w:t>
      </w:r>
    </w:p>
    <w:tbl>
      <w:tblPr>
        <w:tblW w:w="15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5029"/>
        <w:gridCol w:w="5670"/>
      </w:tblGrid>
      <w:tr w:rsidR="00BA6927" w:rsidRPr="00BA6927" w14:paraId="0BCE0A09" w14:textId="7DF4766A" w:rsidTr="00261828">
        <w:trPr>
          <w:trHeight w:val="20"/>
          <w:tblHeader/>
        </w:trPr>
        <w:tc>
          <w:tcPr>
            <w:tcW w:w="4620" w:type="dxa"/>
            <w:shd w:val="clear" w:color="auto" w:fill="227ACB"/>
          </w:tcPr>
          <w:p w14:paraId="79DC7009" w14:textId="77777777" w:rsidR="00BA6927" w:rsidRPr="00BA6927" w:rsidRDefault="00BA6927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Performance Outcomes</w:t>
            </w:r>
          </w:p>
        </w:tc>
        <w:tc>
          <w:tcPr>
            <w:tcW w:w="5029" w:type="dxa"/>
            <w:shd w:val="clear" w:color="auto" w:fill="227ACB"/>
          </w:tcPr>
          <w:p w14:paraId="18C2FF6F" w14:textId="77777777" w:rsidR="00BA6927" w:rsidRPr="00BA6927" w:rsidRDefault="00BA6927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Acceptable Outcomes</w:t>
            </w:r>
          </w:p>
        </w:tc>
        <w:tc>
          <w:tcPr>
            <w:tcW w:w="5670" w:type="dxa"/>
            <w:shd w:val="clear" w:color="auto" w:fill="227ACB"/>
          </w:tcPr>
          <w:p w14:paraId="05E1285F" w14:textId="77777777" w:rsidR="00BA6927" w:rsidRPr="00BA6927" w:rsidRDefault="00BA6927" w:rsidP="00BA6927">
            <w:pPr>
              <w:ind w:left="567" w:hanging="446"/>
              <w:rPr>
                <w:rFonts w:eastAsia="Calibri" w:cs="Arial"/>
                <w:b/>
                <w:color w:val="FFFFFF"/>
                <w:szCs w:val="20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</w:rPr>
              <w:t xml:space="preserve">Proposed Solution </w:t>
            </w:r>
          </w:p>
          <w:p w14:paraId="266FB46C" w14:textId="29D66675" w:rsidR="00BA6927" w:rsidRPr="00BA6927" w:rsidRDefault="00BA6927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 w:val="18"/>
                <w:szCs w:val="18"/>
              </w:rPr>
              <w:t>Explanation of how the development addresses the Acceptable Outcome and/or Performance Outcome.</w:t>
            </w:r>
          </w:p>
        </w:tc>
      </w:tr>
      <w:tr w:rsidR="00F760FE" w:rsidRPr="00BA6927" w14:paraId="607261AF" w14:textId="26696D13" w:rsidTr="00D3309E">
        <w:trPr>
          <w:trHeight w:val="20"/>
        </w:trPr>
        <w:tc>
          <w:tcPr>
            <w:tcW w:w="15319" w:type="dxa"/>
            <w:gridSpan w:val="3"/>
          </w:tcPr>
          <w:p w14:paraId="358A4393" w14:textId="20742BDC" w:rsidR="00F760FE" w:rsidRPr="007113DB" w:rsidRDefault="00F760FE" w:rsidP="00362831">
            <w:pPr>
              <w:ind w:left="113" w:right="113"/>
              <w:rPr>
                <w:rFonts w:eastAsia="Calibri" w:cs="Arial"/>
                <w:b/>
                <w:bCs/>
                <w:szCs w:val="20"/>
                <w:highlight w:val="yellow"/>
                <w:lang w:val="en-US"/>
              </w:rPr>
            </w:pPr>
            <w:r w:rsidRPr="00E1513C">
              <w:rPr>
                <w:b/>
              </w:rPr>
              <w:t>For accepted, accepted subject to requirements and assessable development (code, code (fast tracked) and impact)</w:t>
            </w:r>
          </w:p>
        </w:tc>
      </w:tr>
      <w:tr w:rsidR="00F760FE" w:rsidRPr="00BA6927" w14:paraId="4F3B47CD" w14:textId="144F37CB" w:rsidTr="002162BC">
        <w:trPr>
          <w:cantSplit/>
          <w:trHeight w:val="20"/>
        </w:trPr>
        <w:tc>
          <w:tcPr>
            <w:tcW w:w="15319" w:type="dxa"/>
            <w:gridSpan w:val="3"/>
          </w:tcPr>
          <w:p w14:paraId="3E1C34F9" w14:textId="530244C9" w:rsidR="00F760FE" w:rsidRPr="007113DB" w:rsidRDefault="00F760FE" w:rsidP="00362831">
            <w:pPr>
              <w:ind w:left="113" w:right="113"/>
              <w:rPr>
                <w:rFonts w:eastAsia="Calibri" w:cs="Arial"/>
                <w:b/>
                <w:bCs/>
                <w:szCs w:val="20"/>
                <w:highlight w:val="yellow"/>
                <w:lang w:val="en-US"/>
              </w:rPr>
            </w:pPr>
            <w:r>
              <w:rPr>
                <w:b/>
              </w:rPr>
              <w:t>Building Height</w:t>
            </w:r>
          </w:p>
        </w:tc>
      </w:tr>
      <w:tr w:rsidR="00362831" w:rsidRPr="00BA6927" w14:paraId="54180803" w14:textId="5B290035" w:rsidTr="00261828">
        <w:trPr>
          <w:trHeight w:val="20"/>
        </w:trPr>
        <w:tc>
          <w:tcPr>
            <w:tcW w:w="4620" w:type="dxa"/>
          </w:tcPr>
          <w:p w14:paraId="3B893652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PO1</w:t>
            </w:r>
          </w:p>
          <w:p w14:paraId="19F5A9F4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 xml:space="preserve">A low </w:t>
            </w:r>
            <w:proofErr w:type="gramStart"/>
            <w:r w:rsidRPr="00E1513C">
              <w:t>rise built</w:t>
            </w:r>
            <w:proofErr w:type="gramEnd"/>
            <w:r w:rsidRPr="00E1513C">
              <w:t xml:space="preserve"> form is maintained having regard to:</w:t>
            </w:r>
          </w:p>
          <w:p w14:paraId="0085B808" w14:textId="77777777" w:rsidR="00362831" w:rsidRPr="00E1513C" w:rsidRDefault="00362831" w:rsidP="00362831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473" w:right="113"/>
            </w:pPr>
            <w:proofErr w:type="gramStart"/>
            <w:r w:rsidRPr="00E1513C">
              <w:t>overshadowing;</w:t>
            </w:r>
            <w:proofErr w:type="gramEnd"/>
          </w:p>
          <w:p w14:paraId="2A97A4B3" w14:textId="77777777" w:rsidR="00EA1BDA" w:rsidRDefault="00362831" w:rsidP="00EA1BDA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473" w:right="113"/>
            </w:pPr>
            <w:r w:rsidRPr="00E1513C">
              <w:t xml:space="preserve">privacy and </w:t>
            </w:r>
            <w:proofErr w:type="gramStart"/>
            <w:r w:rsidRPr="00E1513C">
              <w:t>overlooking;</w:t>
            </w:r>
            <w:proofErr w:type="gramEnd"/>
          </w:p>
          <w:p w14:paraId="269DB64D" w14:textId="77777777" w:rsidR="00EA1BDA" w:rsidRDefault="00362831" w:rsidP="00EA1BDA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473" w:right="113"/>
            </w:pPr>
            <w:r w:rsidRPr="00E1513C">
              <w:t>local building character and appearance; and</w:t>
            </w:r>
          </w:p>
          <w:p w14:paraId="7F329240" w14:textId="0DCDAE20" w:rsidR="00362831" w:rsidRPr="00686492" w:rsidRDefault="00686492" w:rsidP="00EA1BDA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473" w:right="113"/>
            </w:pPr>
            <w:r>
              <w:t>t</w:t>
            </w:r>
            <w:r w:rsidR="00362831">
              <w:t>he height of buildings on adjoining premises.</w:t>
            </w:r>
          </w:p>
        </w:tc>
        <w:tc>
          <w:tcPr>
            <w:tcW w:w="5029" w:type="dxa"/>
          </w:tcPr>
          <w:p w14:paraId="78677E4F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AO1</w:t>
            </w:r>
          </w:p>
          <w:p w14:paraId="6FBA2B32" w14:textId="3565970F" w:rsidR="00362831" w:rsidRPr="007113DB" w:rsidRDefault="00362831" w:rsidP="0036283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  <w:r w:rsidRPr="00E1513C">
              <w:t>Development has a maximum building height of 8.5 metres above natural ground level and no more than two (2) storeys.</w:t>
            </w:r>
          </w:p>
        </w:tc>
        <w:tc>
          <w:tcPr>
            <w:tcW w:w="5670" w:type="dxa"/>
          </w:tcPr>
          <w:p w14:paraId="4EF9E398" w14:textId="77777777" w:rsidR="00362831" w:rsidRPr="007113DB" w:rsidRDefault="00362831" w:rsidP="00362831">
            <w:pPr>
              <w:ind w:left="113" w:right="113"/>
              <w:rPr>
                <w:rFonts w:eastAsia="Calibri" w:cs="Arial"/>
                <w:b/>
                <w:bCs/>
                <w:szCs w:val="20"/>
                <w:highlight w:val="yellow"/>
                <w:lang w:val="en-US"/>
              </w:rPr>
            </w:pPr>
          </w:p>
        </w:tc>
      </w:tr>
      <w:tr w:rsidR="00F760FE" w:rsidRPr="00BA6927" w14:paraId="2535DE95" w14:textId="639D1F19" w:rsidTr="009B1B16">
        <w:trPr>
          <w:trHeight w:val="20"/>
        </w:trPr>
        <w:tc>
          <w:tcPr>
            <w:tcW w:w="15319" w:type="dxa"/>
            <w:gridSpan w:val="3"/>
          </w:tcPr>
          <w:p w14:paraId="1DBEFCF8" w14:textId="704185AB" w:rsidR="00F760FE" w:rsidRPr="007113DB" w:rsidRDefault="00F760FE" w:rsidP="0036283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  <w:r>
              <w:rPr>
                <w:b/>
              </w:rPr>
              <w:t>Gross Floor Area</w:t>
            </w:r>
          </w:p>
        </w:tc>
      </w:tr>
      <w:tr w:rsidR="00362831" w:rsidRPr="00BA6927" w14:paraId="53B09557" w14:textId="42FB6560" w:rsidTr="00261828">
        <w:trPr>
          <w:trHeight w:val="20"/>
        </w:trPr>
        <w:tc>
          <w:tcPr>
            <w:tcW w:w="4620" w:type="dxa"/>
          </w:tcPr>
          <w:p w14:paraId="511509B5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PO2</w:t>
            </w:r>
          </w:p>
          <w:p w14:paraId="4C1DF6AE" w14:textId="2F224F87" w:rsidR="00362831" w:rsidRPr="007113DB" w:rsidRDefault="00362831" w:rsidP="00362831">
            <w:pPr>
              <w:ind w:left="113" w:right="113"/>
              <w:rPr>
                <w:rFonts w:eastAsia="Calibri" w:cs="Arial"/>
                <w:sz w:val="18"/>
                <w:szCs w:val="20"/>
                <w:highlight w:val="yellow"/>
                <w:lang w:val="en-US"/>
              </w:rPr>
            </w:pPr>
            <w:r>
              <w:t>The scale and bulk of the built form is complementary to existing development in the locality.</w:t>
            </w:r>
          </w:p>
        </w:tc>
        <w:tc>
          <w:tcPr>
            <w:tcW w:w="5029" w:type="dxa"/>
          </w:tcPr>
          <w:p w14:paraId="257F6582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AO2</w:t>
            </w:r>
          </w:p>
          <w:p w14:paraId="23660265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Development has a maximum gross floor area</w:t>
            </w:r>
          </w:p>
          <w:p w14:paraId="2E92E038" w14:textId="1B76B230" w:rsidR="00362831" w:rsidRPr="007113DB" w:rsidRDefault="00362831" w:rsidP="0036283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  <w:r w:rsidRPr="00E1513C">
              <w:t>of 75% of the site area.</w:t>
            </w:r>
          </w:p>
        </w:tc>
        <w:tc>
          <w:tcPr>
            <w:tcW w:w="5670" w:type="dxa"/>
          </w:tcPr>
          <w:p w14:paraId="416CDEF4" w14:textId="77777777" w:rsidR="00362831" w:rsidRPr="007113DB" w:rsidRDefault="00362831" w:rsidP="00362831">
            <w:pPr>
              <w:ind w:left="113" w:right="113"/>
              <w:rPr>
                <w:rFonts w:eastAsia="Calibri" w:cs="Arial"/>
                <w:b/>
                <w:bCs/>
                <w:szCs w:val="20"/>
                <w:highlight w:val="yellow"/>
                <w:lang w:val="en-US"/>
              </w:rPr>
            </w:pPr>
          </w:p>
        </w:tc>
      </w:tr>
      <w:tr w:rsidR="00F760FE" w:rsidRPr="00BA6927" w14:paraId="0BE5A3AE" w14:textId="08B210A2" w:rsidTr="006F2C71">
        <w:trPr>
          <w:trHeight w:val="20"/>
        </w:trPr>
        <w:tc>
          <w:tcPr>
            <w:tcW w:w="15319" w:type="dxa"/>
            <w:gridSpan w:val="3"/>
          </w:tcPr>
          <w:p w14:paraId="3234D019" w14:textId="48E825FA" w:rsidR="00F760FE" w:rsidRPr="007113DB" w:rsidRDefault="00F760FE" w:rsidP="0036283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  <w:r>
              <w:rPr>
                <w:b/>
              </w:rPr>
              <w:t>Accommodation Density</w:t>
            </w:r>
          </w:p>
        </w:tc>
      </w:tr>
      <w:tr w:rsidR="00362831" w:rsidRPr="00BA6927" w14:paraId="28F0EEA3" w14:textId="2F20203B" w:rsidTr="00261828">
        <w:trPr>
          <w:trHeight w:val="20"/>
        </w:trPr>
        <w:tc>
          <w:tcPr>
            <w:tcW w:w="4620" w:type="dxa"/>
          </w:tcPr>
          <w:p w14:paraId="30E6E07F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PO3</w:t>
            </w:r>
          </w:p>
          <w:p w14:paraId="243F4054" w14:textId="77777777" w:rsidR="00362831" w:rsidRPr="00E1513C" w:rsidRDefault="00362831" w:rsidP="00362831">
            <w:pPr>
              <w:pStyle w:val="TableParagraph"/>
              <w:tabs>
                <w:tab w:val="left" w:pos="690"/>
                <w:tab w:val="left" w:pos="1557"/>
                <w:tab w:val="left" w:pos="1962"/>
                <w:tab w:val="left" w:pos="3105"/>
              </w:tabs>
              <w:ind w:left="113" w:right="113"/>
            </w:pPr>
            <w:r>
              <w:t>The density of residential accommodation activities:</w:t>
            </w:r>
          </w:p>
          <w:p w14:paraId="2993A857" w14:textId="77777777" w:rsidR="00362831" w:rsidRDefault="00362831" w:rsidP="00362831">
            <w:pPr>
              <w:pStyle w:val="TableParagraph"/>
              <w:numPr>
                <w:ilvl w:val="0"/>
                <w:numId w:val="26"/>
              </w:numPr>
              <w:tabs>
                <w:tab w:val="left" w:pos="535"/>
                <w:tab w:val="left" w:pos="1814"/>
                <w:tab w:val="left" w:pos="2289"/>
                <w:tab w:val="left" w:pos="3297"/>
                <w:tab w:val="left" w:pos="4180"/>
              </w:tabs>
              <w:ind w:left="473" w:right="113"/>
            </w:pPr>
            <w:r>
              <w:t xml:space="preserve">contributes to housing choice and </w:t>
            </w:r>
            <w:proofErr w:type="gramStart"/>
            <w:r>
              <w:t>affordability;</w:t>
            </w:r>
            <w:proofErr w:type="gramEnd"/>
          </w:p>
          <w:p w14:paraId="20ADD292" w14:textId="77777777" w:rsidR="00362831" w:rsidRDefault="00362831" w:rsidP="00362831">
            <w:pPr>
              <w:pStyle w:val="TableParagraph"/>
              <w:numPr>
                <w:ilvl w:val="0"/>
                <w:numId w:val="26"/>
              </w:numPr>
              <w:ind w:left="473" w:right="113"/>
            </w:pPr>
            <w:r>
              <w:t>takes advantage of proximity to centre activities; and</w:t>
            </w:r>
          </w:p>
          <w:p w14:paraId="0A1AFBD8" w14:textId="4773F106" w:rsidR="00362831" w:rsidRPr="007113DB" w:rsidRDefault="00362831" w:rsidP="00362831">
            <w:pPr>
              <w:ind w:left="113" w:right="113"/>
              <w:rPr>
                <w:rFonts w:eastAsia="Calibri" w:cs="Arial"/>
                <w:sz w:val="18"/>
                <w:szCs w:val="20"/>
                <w:highlight w:val="yellow"/>
                <w:lang w:val="en-US"/>
              </w:rPr>
            </w:pPr>
            <w:r w:rsidRPr="00E1513C">
              <w:t>is sympathetic to the prevailing character of</w:t>
            </w:r>
            <w:r>
              <w:t xml:space="preserve"> </w:t>
            </w:r>
            <w:r w:rsidRPr="00E1513C">
              <w:t>the locality.</w:t>
            </w:r>
          </w:p>
        </w:tc>
        <w:tc>
          <w:tcPr>
            <w:tcW w:w="5029" w:type="dxa"/>
          </w:tcPr>
          <w:p w14:paraId="45F23FAE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AO3.1</w:t>
            </w:r>
          </w:p>
          <w:p w14:paraId="7981E181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Residential density is a minimum of one dwelling</w:t>
            </w:r>
          </w:p>
          <w:p w14:paraId="06B51644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per 500m² of the total site area.</w:t>
            </w:r>
          </w:p>
          <w:p w14:paraId="6C23E0AE" w14:textId="77777777" w:rsidR="00362831" w:rsidRDefault="00362831" w:rsidP="00362831">
            <w:pPr>
              <w:pStyle w:val="TableParagraph"/>
              <w:ind w:left="113" w:right="113"/>
              <w:rPr>
                <w:b/>
              </w:rPr>
            </w:pPr>
          </w:p>
          <w:p w14:paraId="376F52F8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AO3.2</w:t>
            </w:r>
          </w:p>
          <w:p w14:paraId="44CED354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Accommodation density is greater than one</w:t>
            </w:r>
          </w:p>
          <w:p w14:paraId="4D8E122F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dwelling per 250m² of the total site area.</w:t>
            </w:r>
          </w:p>
          <w:p w14:paraId="5E5C78A7" w14:textId="77777777" w:rsidR="00362831" w:rsidRDefault="00362831" w:rsidP="00362831">
            <w:pPr>
              <w:pStyle w:val="TableParagraph"/>
              <w:ind w:left="113" w:right="113"/>
              <w:rPr>
                <w:b/>
              </w:rPr>
            </w:pPr>
          </w:p>
          <w:p w14:paraId="1C8D87DF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AO3.3</w:t>
            </w:r>
          </w:p>
          <w:p w14:paraId="7CA22A62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Where development is for a dwelling house</w:t>
            </w:r>
          </w:p>
          <w:p w14:paraId="7440F087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and includes building work or minor building</w:t>
            </w:r>
          </w:p>
          <w:p w14:paraId="7A585FDA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work the maximum additional gross floor area is</w:t>
            </w:r>
          </w:p>
          <w:p w14:paraId="2B62354B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to be no more than 50m</w:t>
            </w:r>
            <w:r w:rsidRPr="00E1513C">
              <w:rPr>
                <w:vertAlign w:val="superscript"/>
              </w:rPr>
              <w:t>2</w:t>
            </w:r>
            <w:r w:rsidRPr="00E1513C">
              <w:t>.</w:t>
            </w:r>
          </w:p>
          <w:p w14:paraId="71A344E7" w14:textId="77777777" w:rsidR="00362831" w:rsidRDefault="00362831" w:rsidP="00362831">
            <w:pPr>
              <w:pStyle w:val="TableParagraph"/>
              <w:ind w:left="113" w:right="113"/>
              <w:rPr>
                <w:b/>
              </w:rPr>
            </w:pPr>
          </w:p>
          <w:p w14:paraId="1F9736C6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AO3.4</w:t>
            </w:r>
          </w:p>
          <w:p w14:paraId="071D104B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Where development is for a dwelling unit, it</w:t>
            </w:r>
          </w:p>
          <w:p w14:paraId="12DC4FE0" w14:textId="0106AFDE" w:rsidR="00362831" w:rsidRPr="007113DB" w:rsidRDefault="00362831" w:rsidP="00362831">
            <w:pPr>
              <w:ind w:left="113" w:right="113"/>
              <w:rPr>
                <w:rFonts w:eastAsia="Calibri" w:cs="Arial"/>
                <w:szCs w:val="20"/>
                <w:highlight w:val="yellow"/>
                <w:lang w:val="en-US"/>
              </w:rPr>
            </w:pPr>
            <w:r w:rsidRPr="00E1513C">
              <w:lastRenderedPageBreak/>
              <w:t>must be within an existing building.</w:t>
            </w:r>
          </w:p>
        </w:tc>
        <w:tc>
          <w:tcPr>
            <w:tcW w:w="5670" w:type="dxa"/>
          </w:tcPr>
          <w:p w14:paraId="7E814668" w14:textId="77777777" w:rsidR="00362831" w:rsidRPr="007113DB" w:rsidRDefault="00362831" w:rsidP="00362831">
            <w:pPr>
              <w:ind w:left="113" w:right="113"/>
              <w:rPr>
                <w:rFonts w:eastAsia="Calibri" w:cs="Arial"/>
                <w:b/>
                <w:bCs/>
                <w:szCs w:val="20"/>
                <w:highlight w:val="yellow"/>
                <w:lang w:val="en-US"/>
              </w:rPr>
            </w:pPr>
          </w:p>
        </w:tc>
      </w:tr>
      <w:tr w:rsidR="00F760FE" w:rsidRPr="00BA6927" w14:paraId="13D4387D" w14:textId="4076EEDB" w:rsidTr="00970554">
        <w:trPr>
          <w:trHeight w:val="20"/>
        </w:trPr>
        <w:tc>
          <w:tcPr>
            <w:tcW w:w="15319" w:type="dxa"/>
            <w:gridSpan w:val="3"/>
          </w:tcPr>
          <w:p w14:paraId="2DB610C4" w14:textId="79030CB2" w:rsidR="00F760FE" w:rsidRPr="007113DB" w:rsidRDefault="00F760FE" w:rsidP="0036283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  <w:r>
              <w:rPr>
                <w:b/>
              </w:rPr>
              <w:t>Setbacks</w:t>
            </w:r>
          </w:p>
        </w:tc>
      </w:tr>
      <w:tr w:rsidR="00362831" w:rsidRPr="00BA6927" w14:paraId="372029E5" w14:textId="3CADF470" w:rsidTr="00261828">
        <w:trPr>
          <w:trHeight w:val="20"/>
        </w:trPr>
        <w:tc>
          <w:tcPr>
            <w:tcW w:w="4620" w:type="dxa"/>
          </w:tcPr>
          <w:p w14:paraId="285F76CB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PO4</w:t>
            </w:r>
          </w:p>
          <w:p w14:paraId="715D217C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Building setbacks are appropriate having regard to:</w:t>
            </w:r>
          </w:p>
          <w:p w14:paraId="1CDA86CA" w14:textId="77777777" w:rsidR="00362831" w:rsidRPr="00E1513C" w:rsidRDefault="00362831" w:rsidP="00362831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ind w:left="473" w:right="113"/>
            </w:pPr>
            <w:proofErr w:type="gramStart"/>
            <w:r w:rsidRPr="00E1513C">
              <w:t>overshadowing;</w:t>
            </w:r>
            <w:proofErr w:type="gramEnd"/>
          </w:p>
          <w:p w14:paraId="0671A6DD" w14:textId="77777777" w:rsidR="00362831" w:rsidRPr="00E1513C" w:rsidRDefault="00362831" w:rsidP="00362831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ind w:left="473" w:right="113"/>
            </w:pPr>
            <w:r w:rsidRPr="00E1513C">
              <w:t xml:space="preserve">crime </w:t>
            </w:r>
            <w:proofErr w:type="gramStart"/>
            <w:r w:rsidRPr="00E1513C">
              <w:t>prevention;</w:t>
            </w:r>
            <w:proofErr w:type="gramEnd"/>
          </w:p>
          <w:p w14:paraId="511B1798" w14:textId="77777777" w:rsidR="00362831" w:rsidRPr="00E1513C" w:rsidRDefault="00362831" w:rsidP="00362831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ind w:left="473" w:right="113"/>
            </w:pPr>
            <w:r w:rsidRPr="00E1513C">
              <w:t xml:space="preserve">privacy and </w:t>
            </w:r>
            <w:proofErr w:type="gramStart"/>
            <w:r w:rsidRPr="00E1513C">
              <w:t>overlooking;</w:t>
            </w:r>
            <w:proofErr w:type="gramEnd"/>
          </w:p>
          <w:p w14:paraId="146A5ACA" w14:textId="77777777" w:rsidR="00D873A6" w:rsidRDefault="00362831" w:rsidP="00D873A6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ind w:left="473" w:right="113"/>
            </w:pPr>
            <w:r w:rsidRPr="00E1513C">
              <w:t>local building character and appearance; and</w:t>
            </w:r>
          </w:p>
          <w:p w14:paraId="18338BA6" w14:textId="1C917CB8" w:rsidR="00362831" w:rsidRPr="00D873A6" w:rsidRDefault="00362831" w:rsidP="00D873A6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ind w:left="473" w:right="113"/>
            </w:pPr>
            <w:r w:rsidRPr="00E1513C">
              <w:t>the setbacks of adjoining premises.</w:t>
            </w:r>
          </w:p>
        </w:tc>
        <w:tc>
          <w:tcPr>
            <w:tcW w:w="5029" w:type="dxa"/>
          </w:tcPr>
          <w:p w14:paraId="10A4FEAE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AO4.1</w:t>
            </w:r>
          </w:p>
          <w:p w14:paraId="24CB13BB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 xml:space="preserve">Buildings and structures have a minimum setback of 3 metres to the </w:t>
            </w:r>
            <w:proofErr w:type="gramStart"/>
            <w:r w:rsidRPr="00E1513C">
              <w:t>primary road frontage</w:t>
            </w:r>
            <w:proofErr w:type="gramEnd"/>
            <w:r w:rsidRPr="00E1513C">
              <w:t>.</w:t>
            </w:r>
          </w:p>
          <w:p w14:paraId="1DC0C175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  <w:sz w:val="19"/>
              </w:rPr>
            </w:pPr>
          </w:p>
          <w:p w14:paraId="06CA54CA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AO4.2</w:t>
            </w:r>
          </w:p>
          <w:p w14:paraId="1B236E1A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Buildings have a zero setback to the primary road frontage of the following streets:</w:t>
            </w:r>
          </w:p>
          <w:p w14:paraId="39438F12" w14:textId="77777777" w:rsidR="00362831" w:rsidRPr="00E1513C" w:rsidRDefault="00362831" w:rsidP="00362831">
            <w:pPr>
              <w:pStyle w:val="TableParagraph"/>
              <w:numPr>
                <w:ilvl w:val="0"/>
                <w:numId w:val="28"/>
              </w:numPr>
              <w:tabs>
                <w:tab w:val="left" w:pos="591"/>
              </w:tabs>
              <w:ind w:left="473" w:right="113"/>
            </w:pPr>
            <w:r w:rsidRPr="00E1513C">
              <w:t xml:space="preserve">Day </w:t>
            </w:r>
            <w:r>
              <w:t>S</w:t>
            </w:r>
            <w:r w:rsidRPr="00E1513C">
              <w:t xml:space="preserve">treet, </w:t>
            </w:r>
            <w:proofErr w:type="gramStart"/>
            <w:r w:rsidRPr="00E1513C">
              <w:t>Tara;</w:t>
            </w:r>
            <w:proofErr w:type="gramEnd"/>
          </w:p>
          <w:p w14:paraId="6FD48525" w14:textId="77777777" w:rsidR="00362831" w:rsidRPr="00E1513C" w:rsidRDefault="00362831" w:rsidP="00362831">
            <w:pPr>
              <w:pStyle w:val="TableParagraph"/>
              <w:numPr>
                <w:ilvl w:val="0"/>
                <w:numId w:val="28"/>
              </w:numPr>
              <w:tabs>
                <w:tab w:val="left" w:pos="591"/>
              </w:tabs>
              <w:ind w:left="473" w:right="113"/>
            </w:pPr>
            <w:r w:rsidRPr="00E1513C">
              <w:t xml:space="preserve">Fry </w:t>
            </w:r>
            <w:r>
              <w:t>S</w:t>
            </w:r>
            <w:r w:rsidRPr="00E1513C">
              <w:t xml:space="preserve">treet, </w:t>
            </w:r>
            <w:proofErr w:type="gramStart"/>
            <w:r w:rsidRPr="00E1513C">
              <w:t>Tara;</w:t>
            </w:r>
            <w:proofErr w:type="gramEnd"/>
          </w:p>
          <w:p w14:paraId="4704D3F4" w14:textId="77777777" w:rsidR="00362831" w:rsidRPr="00E1513C" w:rsidRDefault="00362831" w:rsidP="00362831">
            <w:pPr>
              <w:pStyle w:val="TableParagraph"/>
              <w:numPr>
                <w:ilvl w:val="0"/>
                <w:numId w:val="28"/>
              </w:numPr>
              <w:tabs>
                <w:tab w:val="left" w:pos="591"/>
              </w:tabs>
              <w:ind w:left="473" w:right="113"/>
            </w:pPr>
            <w:r w:rsidRPr="00E1513C">
              <w:t xml:space="preserve">High </w:t>
            </w:r>
            <w:r>
              <w:t>S</w:t>
            </w:r>
            <w:r w:rsidRPr="00E1513C">
              <w:t xml:space="preserve">treet, </w:t>
            </w:r>
            <w:proofErr w:type="spellStart"/>
            <w:proofErr w:type="gramStart"/>
            <w:r w:rsidRPr="00E1513C">
              <w:t>Jandowae</w:t>
            </w:r>
            <w:proofErr w:type="spellEnd"/>
            <w:r w:rsidRPr="00E1513C">
              <w:t>;</w:t>
            </w:r>
            <w:proofErr w:type="gramEnd"/>
          </w:p>
          <w:p w14:paraId="1F4406B1" w14:textId="77777777" w:rsidR="00362831" w:rsidRPr="00E1513C" w:rsidRDefault="00362831" w:rsidP="00362831">
            <w:pPr>
              <w:pStyle w:val="TableParagraph"/>
              <w:numPr>
                <w:ilvl w:val="0"/>
                <w:numId w:val="28"/>
              </w:numPr>
              <w:tabs>
                <w:tab w:val="left" w:pos="591"/>
              </w:tabs>
              <w:ind w:left="473" w:right="113"/>
            </w:pPr>
            <w:r w:rsidRPr="00E1513C">
              <w:t xml:space="preserve">George </w:t>
            </w:r>
            <w:r>
              <w:t>S</w:t>
            </w:r>
            <w:r w:rsidRPr="00E1513C">
              <w:t xml:space="preserve">treet, </w:t>
            </w:r>
            <w:proofErr w:type="spellStart"/>
            <w:proofErr w:type="gramStart"/>
            <w:r w:rsidRPr="00E1513C">
              <w:t>Jandowae</w:t>
            </w:r>
            <w:proofErr w:type="spellEnd"/>
            <w:r w:rsidRPr="00E1513C">
              <w:t>;</w:t>
            </w:r>
            <w:proofErr w:type="gramEnd"/>
          </w:p>
          <w:p w14:paraId="0FC17FFB" w14:textId="77777777" w:rsidR="00362831" w:rsidRPr="00E1513C" w:rsidRDefault="00362831" w:rsidP="00362831">
            <w:pPr>
              <w:pStyle w:val="TableParagraph"/>
              <w:numPr>
                <w:ilvl w:val="0"/>
                <w:numId w:val="28"/>
              </w:numPr>
              <w:tabs>
                <w:tab w:val="left" w:pos="591"/>
              </w:tabs>
              <w:ind w:left="473" w:right="113"/>
            </w:pPr>
            <w:r w:rsidRPr="00E1513C">
              <w:t xml:space="preserve">Royd </w:t>
            </w:r>
            <w:r>
              <w:t>S</w:t>
            </w:r>
            <w:r w:rsidRPr="00E1513C">
              <w:t xml:space="preserve">treet, </w:t>
            </w:r>
            <w:proofErr w:type="spellStart"/>
            <w:r w:rsidRPr="00E1513C">
              <w:t>Wandoan</w:t>
            </w:r>
            <w:proofErr w:type="spellEnd"/>
            <w:r w:rsidRPr="00E1513C">
              <w:t xml:space="preserve"> (between East </w:t>
            </w:r>
            <w:r>
              <w:t>S</w:t>
            </w:r>
            <w:r w:rsidRPr="00E1513C">
              <w:t xml:space="preserve">treet and West </w:t>
            </w:r>
            <w:r>
              <w:t>S</w:t>
            </w:r>
            <w:r w:rsidRPr="00E1513C">
              <w:t>treet); and</w:t>
            </w:r>
          </w:p>
          <w:p w14:paraId="0D578532" w14:textId="77777777" w:rsidR="00362831" w:rsidRDefault="00362831" w:rsidP="00362831">
            <w:pPr>
              <w:pStyle w:val="TableParagraph"/>
              <w:numPr>
                <w:ilvl w:val="0"/>
                <w:numId w:val="28"/>
              </w:numPr>
              <w:ind w:left="473" w:right="113"/>
            </w:pPr>
            <w:r w:rsidRPr="00E1513C">
              <w:t xml:space="preserve">Lawton </w:t>
            </w:r>
            <w:r>
              <w:t>S</w:t>
            </w:r>
            <w:r w:rsidRPr="00E1513C">
              <w:t xml:space="preserve">treet, </w:t>
            </w:r>
            <w:proofErr w:type="spellStart"/>
            <w:r w:rsidRPr="00E1513C">
              <w:t>Wandoan</w:t>
            </w:r>
            <w:proofErr w:type="spellEnd"/>
            <w:r w:rsidRPr="00E1513C">
              <w:t xml:space="preserve"> (between Royd </w:t>
            </w:r>
            <w:r>
              <w:t>S</w:t>
            </w:r>
            <w:r w:rsidRPr="00E1513C">
              <w:t xml:space="preserve">treet and Moore </w:t>
            </w:r>
            <w:r>
              <w:t>S</w:t>
            </w:r>
            <w:r w:rsidRPr="00E1513C">
              <w:t>treet).</w:t>
            </w:r>
          </w:p>
          <w:p w14:paraId="719D8DCD" w14:textId="77777777" w:rsidR="00362831" w:rsidRDefault="00362831" w:rsidP="00362831">
            <w:pPr>
              <w:pStyle w:val="TableParagraph"/>
              <w:ind w:left="113" w:right="113"/>
              <w:rPr>
                <w:b/>
              </w:rPr>
            </w:pPr>
          </w:p>
          <w:p w14:paraId="4455EBFB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AO4.3</w:t>
            </w:r>
          </w:p>
          <w:p w14:paraId="2F4AD56D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Where new development is located adjacent to</w:t>
            </w:r>
          </w:p>
          <w:p w14:paraId="64EA76E2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an existing building, the primary road frontage</w:t>
            </w:r>
          </w:p>
          <w:p w14:paraId="11DFB676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setback is equal to or greater than the setback</w:t>
            </w:r>
          </w:p>
          <w:p w14:paraId="4E679818" w14:textId="77777777" w:rsidR="00362831" w:rsidRDefault="00362831" w:rsidP="00362831">
            <w:pPr>
              <w:pStyle w:val="TableParagraph"/>
              <w:ind w:left="113" w:right="113"/>
            </w:pPr>
            <w:r w:rsidRPr="00E1513C">
              <w:t>of the building on the adjoining site.</w:t>
            </w:r>
          </w:p>
          <w:p w14:paraId="7742B8A4" w14:textId="77777777" w:rsidR="00362831" w:rsidRPr="00E1513C" w:rsidRDefault="00362831" w:rsidP="00362831">
            <w:pPr>
              <w:pStyle w:val="TableParagraph"/>
              <w:ind w:left="113" w:right="113"/>
            </w:pPr>
          </w:p>
          <w:p w14:paraId="55B2694F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AO4.4</w:t>
            </w:r>
          </w:p>
          <w:p w14:paraId="387ECDBF" w14:textId="77777777" w:rsidR="00362831" w:rsidRDefault="00362831" w:rsidP="00362831">
            <w:pPr>
              <w:pStyle w:val="TableParagraph"/>
              <w:ind w:left="113" w:right="113"/>
            </w:pPr>
            <w:r w:rsidRPr="00E1513C">
              <w:t>Buildings may be built to the side boundary.</w:t>
            </w:r>
          </w:p>
          <w:p w14:paraId="73A7EE40" w14:textId="77777777" w:rsidR="00362831" w:rsidRPr="00E1513C" w:rsidRDefault="00362831" w:rsidP="00362831">
            <w:pPr>
              <w:pStyle w:val="TableParagraph"/>
              <w:ind w:left="113" w:right="113"/>
            </w:pPr>
          </w:p>
          <w:p w14:paraId="0C6C139A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AO4.5</w:t>
            </w:r>
          </w:p>
          <w:p w14:paraId="2938A249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Buildings and structures have a minimum rear</w:t>
            </w:r>
          </w:p>
          <w:p w14:paraId="7CB68BDB" w14:textId="77777777" w:rsidR="00362831" w:rsidRDefault="00362831" w:rsidP="00362831">
            <w:pPr>
              <w:pStyle w:val="TableParagraph"/>
              <w:ind w:left="113" w:right="113"/>
            </w:pPr>
            <w:r w:rsidRPr="00E1513C">
              <w:t xml:space="preserve">boundary clearance of 3 </w:t>
            </w:r>
            <w:proofErr w:type="gramStart"/>
            <w:r w:rsidRPr="00E1513C">
              <w:t>metres</w:t>
            </w:r>
            <w:proofErr w:type="gramEnd"/>
            <w:r w:rsidRPr="00E1513C">
              <w:t>.</w:t>
            </w:r>
          </w:p>
          <w:p w14:paraId="02203963" w14:textId="77777777" w:rsidR="00362831" w:rsidRPr="00E1513C" w:rsidRDefault="00362831" w:rsidP="00362831">
            <w:pPr>
              <w:pStyle w:val="TableParagraph"/>
              <w:ind w:left="113" w:right="113"/>
            </w:pPr>
          </w:p>
          <w:p w14:paraId="294642F0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Where adjoining land in a Residential Zone</w:t>
            </w:r>
          </w:p>
          <w:p w14:paraId="0782BEF8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lastRenderedPageBreak/>
              <w:t>category</w:t>
            </w:r>
          </w:p>
          <w:p w14:paraId="3DE4E90A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AO4.6</w:t>
            </w:r>
          </w:p>
          <w:p w14:paraId="11CD0046" w14:textId="77777777" w:rsidR="00362831" w:rsidRPr="00E1513C" w:rsidRDefault="00362831" w:rsidP="00362831">
            <w:pPr>
              <w:pStyle w:val="TableParagraph"/>
              <w:ind w:left="113" w:right="113"/>
            </w:pPr>
            <w:r w:rsidRPr="00E1513C">
              <w:t>Buildings and structures have a minimum side</w:t>
            </w:r>
          </w:p>
          <w:p w14:paraId="6DE9A307" w14:textId="00903687" w:rsidR="00362831" w:rsidRPr="007113DB" w:rsidRDefault="00362831" w:rsidP="00362831">
            <w:pPr>
              <w:ind w:left="113" w:right="113"/>
              <w:rPr>
                <w:rFonts w:eastAsia="Calibri" w:cs="Arial"/>
                <w:szCs w:val="20"/>
                <w:highlight w:val="yellow"/>
                <w:lang w:val="en-US"/>
              </w:rPr>
            </w:pPr>
            <w:r w:rsidRPr="00E1513C">
              <w:t>and rear boundary clearance of 3 metres</w:t>
            </w:r>
            <w:r>
              <w:t>.</w:t>
            </w:r>
          </w:p>
        </w:tc>
        <w:tc>
          <w:tcPr>
            <w:tcW w:w="5670" w:type="dxa"/>
          </w:tcPr>
          <w:p w14:paraId="7887403B" w14:textId="77777777" w:rsidR="00362831" w:rsidRPr="007113DB" w:rsidRDefault="00362831" w:rsidP="0036283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  <w:tr w:rsidR="00F760FE" w:rsidRPr="00BA6927" w14:paraId="19CFCC4E" w14:textId="77B80593" w:rsidTr="00974194">
        <w:trPr>
          <w:trHeight w:val="20"/>
        </w:trPr>
        <w:tc>
          <w:tcPr>
            <w:tcW w:w="15319" w:type="dxa"/>
            <w:gridSpan w:val="3"/>
          </w:tcPr>
          <w:p w14:paraId="69BAD934" w14:textId="398768DC" w:rsidR="00F760FE" w:rsidRPr="007113DB" w:rsidRDefault="00F760FE" w:rsidP="0036283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  <w:r w:rsidRPr="00E1513C">
              <w:rPr>
                <w:b/>
              </w:rPr>
              <w:t xml:space="preserve">Site </w:t>
            </w:r>
            <w:r>
              <w:rPr>
                <w:b/>
              </w:rPr>
              <w:t>C</w:t>
            </w:r>
            <w:r w:rsidRPr="00E1513C">
              <w:rPr>
                <w:b/>
              </w:rPr>
              <w:t>over</w:t>
            </w:r>
          </w:p>
        </w:tc>
      </w:tr>
      <w:tr w:rsidR="00362831" w:rsidRPr="00BA6927" w14:paraId="190A02C9" w14:textId="402B8305" w:rsidTr="00261828">
        <w:trPr>
          <w:trHeight w:val="20"/>
        </w:trPr>
        <w:tc>
          <w:tcPr>
            <w:tcW w:w="4620" w:type="dxa"/>
          </w:tcPr>
          <w:p w14:paraId="2221FF73" w14:textId="77777777" w:rsidR="00362831" w:rsidRDefault="00362831" w:rsidP="00362831">
            <w:pPr>
              <w:ind w:left="113" w:right="113"/>
              <w:rPr>
                <w:b/>
              </w:rPr>
            </w:pPr>
            <w:r w:rsidRPr="00E1513C">
              <w:rPr>
                <w:b/>
              </w:rPr>
              <w:t>PO5</w:t>
            </w:r>
          </w:p>
          <w:p w14:paraId="487396A2" w14:textId="1566A48A" w:rsidR="00534D43" w:rsidRDefault="00534D43" w:rsidP="00362831">
            <w:pPr>
              <w:ind w:left="113" w:right="113"/>
              <w:rPr>
                <w:b/>
              </w:rPr>
            </w:pPr>
            <w:r w:rsidRPr="00E1513C">
              <w:t>The site cover must ensure efficient use of the</w:t>
            </w:r>
          </w:p>
          <w:p w14:paraId="60C51834" w14:textId="064C0CE0" w:rsidR="00534D43" w:rsidRDefault="00534D43" w:rsidP="00362831">
            <w:pPr>
              <w:ind w:left="113" w:right="113"/>
              <w:rPr>
                <w:b/>
              </w:rPr>
            </w:pPr>
            <w:r w:rsidRPr="00E1513C">
              <w:t>site in a manner that complements the</w:t>
            </w:r>
          </w:p>
          <w:p w14:paraId="7423D8BB" w14:textId="3E1982EA" w:rsidR="00534D43" w:rsidRPr="007113DB" w:rsidRDefault="00534D43" w:rsidP="00362831">
            <w:pPr>
              <w:ind w:left="113" w:right="113"/>
              <w:rPr>
                <w:rFonts w:eastAsia="Calibri" w:cs="Arial"/>
                <w:szCs w:val="20"/>
                <w:highlight w:val="yellow"/>
                <w:lang w:val="en-US"/>
              </w:rPr>
            </w:pPr>
            <w:r w:rsidRPr="00E1513C">
              <w:t>traditional character and streetscape of the</w:t>
            </w:r>
            <w:r>
              <w:t xml:space="preserve"> </w:t>
            </w:r>
            <w:r w:rsidRPr="00E1513C">
              <w:t>Local centre zone.</w:t>
            </w:r>
          </w:p>
        </w:tc>
        <w:tc>
          <w:tcPr>
            <w:tcW w:w="5029" w:type="dxa"/>
          </w:tcPr>
          <w:p w14:paraId="31DC8983" w14:textId="77777777" w:rsidR="00362831" w:rsidRPr="00E1513C" w:rsidRDefault="00362831" w:rsidP="00362831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AO5</w:t>
            </w:r>
          </w:p>
          <w:p w14:paraId="74942920" w14:textId="77777777" w:rsidR="00362831" w:rsidRPr="00E1513C" w:rsidRDefault="00362831" w:rsidP="00362831">
            <w:pPr>
              <w:pStyle w:val="TableParagraph"/>
              <w:ind w:left="113" w:right="113"/>
            </w:pPr>
            <w:proofErr w:type="gramStart"/>
            <w:r w:rsidRPr="00E1513C">
              <w:t>Site</w:t>
            </w:r>
            <w:proofErr w:type="gramEnd"/>
            <w:r w:rsidRPr="00E1513C">
              <w:t xml:space="preserve"> cover is a maximum of:</w:t>
            </w:r>
          </w:p>
          <w:p w14:paraId="72FA95DA" w14:textId="77777777" w:rsidR="00362831" w:rsidRPr="00E1513C" w:rsidRDefault="00362831" w:rsidP="00362831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ind w:left="473" w:right="113"/>
            </w:pPr>
            <w:r w:rsidRPr="00E1513C">
              <w:t xml:space="preserve">for a single </w:t>
            </w:r>
            <w:proofErr w:type="spellStart"/>
            <w:r w:rsidRPr="00E1513C">
              <w:t>storey</w:t>
            </w:r>
            <w:proofErr w:type="spellEnd"/>
            <w:r w:rsidRPr="00E1513C">
              <w:t xml:space="preserve"> building - 75% of the total site area; or</w:t>
            </w:r>
          </w:p>
          <w:p w14:paraId="5D15667F" w14:textId="1253B553" w:rsidR="00362831" w:rsidRPr="007113DB" w:rsidRDefault="00362831" w:rsidP="00362831">
            <w:pPr>
              <w:ind w:left="113" w:right="113"/>
              <w:rPr>
                <w:rFonts w:eastAsia="Calibri" w:cs="Arial"/>
                <w:szCs w:val="20"/>
                <w:highlight w:val="yellow"/>
                <w:lang w:val="en-US"/>
              </w:rPr>
            </w:pPr>
            <w:r w:rsidRPr="00E1513C">
              <w:t xml:space="preserve">for a </w:t>
            </w:r>
            <w:proofErr w:type="gramStart"/>
            <w:r w:rsidRPr="00E1513C">
              <w:t>2 storey</w:t>
            </w:r>
            <w:proofErr w:type="gramEnd"/>
            <w:r w:rsidRPr="00E1513C">
              <w:t xml:space="preserve"> building - 50% of the total site area.</w:t>
            </w:r>
          </w:p>
        </w:tc>
        <w:tc>
          <w:tcPr>
            <w:tcW w:w="5670" w:type="dxa"/>
          </w:tcPr>
          <w:p w14:paraId="604E3C91" w14:textId="77777777" w:rsidR="00362831" w:rsidRPr="007113DB" w:rsidRDefault="00362831" w:rsidP="0036283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  <w:tr w:rsidR="00F760FE" w:rsidRPr="00BA6927" w14:paraId="3E139B32" w14:textId="77777777" w:rsidTr="008D5284">
        <w:trPr>
          <w:trHeight w:val="20"/>
        </w:trPr>
        <w:tc>
          <w:tcPr>
            <w:tcW w:w="15319" w:type="dxa"/>
            <w:gridSpan w:val="3"/>
          </w:tcPr>
          <w:p w14:paraId="1FC0AF59" w14:textId="077069B2" w:rsidR="00F760FE" w:rsidRPr="007113DB" w:rsidRDefault="00F760FE" w:rsidP="009271AD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  <w:r w:rsidRPr="00E1513C">
              <w:rPr>
                <w:b/>
              </w:rPr>
              <w:t>For assessable development (code, code (fast tracked) and impact)</w:t>
            </w:r>
          </w:p>
        </w:tc>
      </w:tr>
      <w:tr w:rsidR="00F760FE" w:rsidRPr="00BA6927" w14:paraId="23D206FF" w14:textId="77777777" w:rsidTr="006D1E79">
        <w:trPr>
          <w:trHeight w:val="20"/>
        </w:trPr>
        <w:tc>
          <w:tcPr>
            <w:tcW w:w="15319" w:type="dxa"/>
            <w:gridSpan w:val="3"/>
          </w:tcPr>
          <w:p w14:paraId="43C2D0D3" w14:textId="6A187F76" w:rsidR="00F760FE" w:rsidRPr="007113DB" w:rsidRDefault="00F760FE" w:rsidP="009271AD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  <w:r w:rsidRPr="00E1513C">
              <w:rPr>
                <w:b/>
              </w:rPr>
              <w:t xml:space="preserve">Building </w:t>
            </w:r>
            <w:r>
              <w:rPr>
                <w:b/>
              </w:rPr>
              <w:t>A</w:t>
            </w:r>
            <w:r w:rsidRPr="00E1513C">
              <w:rPr>
                <w:b/>
              </w:rPr>
              <w:t>ppearance</w:t>
            </w:r>
          </w:p>
        </w:tc>
      </w:tr>
      <w:tr w:rsidR="00755467" w:rsidRPr="00BA6927" w14:paraId="376962CB" w14:textId="77777777" w:rsidTr="00261828">
        <w:trPr>
          <w:trHeight w:val="20"/>
        </w:trPr>
        <w:tc>
          <w:tcPr>
            <w:tcW w:w="4620" w:type="dxa"/>
          </w:tcPr>
          <w:p w14:paraId="077A49F6" w14:textId="77777777" w:rsidR="00755467" w:rsidRPr="00E1513C" w:rsidRDefault="00755467" w:rsidP="00755467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PO6</w:t>
            </w:r>
          </w:p>
          <w:p w14:paraId="76D9F13C" w14:textId="797411CB" w:rsidR="00755467" w:rsidRPr="00E1513C" w:rsidRDefault="00755467" w:rsidP="00755467">
            <w:pPr>
              <w:ind w:left="113" w:right="113"/>
              <w:rPr>
                <w:b/>
              </w:rPr>
            </w:pPr>
            <w:r w:rsidRPr="00E1513C">
              <w:t>Development is complementary to and integrates with the existing character and visual amenity of the Zone.</w:t>
            </w:r>
          </w:p>
        </w:tc>
        <w:tc>
          <w:tcPr>
            <w:tcW w:w="5029" w:type="dxa"/>
          </w:tcPr>
          <w:p w14:paraId="6C7486B8" w14:textId="77777777" w:rsidR="00651C8F" w:rsidRPr="00E1513C" w:rsidRDefault="00651C8F" w:rsidP="00651C8F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AO6.1</w:t>
            </w:r>
          </w:p>
          <w:p w14:paraId="4D612E3D" w14:textId="77777777" w:rsidR="00651C8F" w:rsidRDefault="00651C8F" w:rsidP="00651C8F">
            <w:pPr>
              <w:pStyle w:val="TableParagraph"/>
              <w:tabs>
                <w:tab w:val="left" w:pos="1211"/>
                <w:tab w:val="left" w:pos="2315"/>
                <w:tab w:val="left" w:pos="2898"/>
                <w:tab w:val="left" w:pos="4086"/>
              </w:tabs>
              <w:ind w:left="113" w:right="113"/>
            </w:pPr>
            <w:r>
              <w:t>Building elements are consistent with development in the Local centre having regard to:</w:t>
            </w:r>
          </w:p>
          <w:p w14:paraId="2437BB7E" w14:textId="77777777" w:rsidR="00651C8F" w:rsidRPr="00E1513C" w:rsidRDefault="00651C8F" w:rsidP="00651C8F">
            <w:pPr>
              <w:pStyle w:val="TableParagraph"/>
              <w:numPr>
                <w:ilvl w:val="0"/>
                <w:numId w:val="30"/>
              </w:numPr>
              <w:tabs>
                <w:tab w:val="left" w:pos="731"/>
                <w:tab w:val="left" w:pos="732"/>
              </w:tabs>
              <w:ind w:left="473" w:right="113"/>
            </w:pPr>
            <w:r w:rsidRPr="00E1513C">
              <w:t xml:space="preserve">roof form and </w:t>
            </w:r>
            <w:proofErr w:type="gramStart"/>
            <w:r w:rsidRPr="00E1513C">
              <w:t>pitch;</w:t>
            </w:r>
            <w:proofErr w:type="gramEnd"/>
          </w:p>
          <w:p w14:paraId="0920A8BE" w14:textId="77777777" w:rsidR="00651C8F" w:rsidRPr="00E1513C" w:rsidRDefault="00651C8F" w:rsidP="00651C8F">
            <w:pPr>
              <w:pStyle w:val="TableParagraph"/>
              <w:numPr>
                <w:ilvl w:val="0"/>
                <w:numId w:val="30"/>
              </w:numPr>
              <w:tabs>
                <w:tab w:val="left" w:pos="731"/>
                <w:tab w:val="left" w:pos="732"/>
              </w:tabs>
              <w:ind w:left="473" w:right="113"/>
            </w:pPr>
            <w:r w:rsidRPr="00E1513C">
              <w:t xml:space="preserve">eaves and </w:t>
            </w:r>
            <w:proofErr w:type="gramStart"/>
            <w:r w:rsidRPr="00E1513C">
              <w:t>awnings;</w:t>
            </w:r>
            <w:proofErr w:type="gramEnd"/>
          </w:p>
          <w:p w14:paraId="44F63DF1" w14:textId="77777777" w:rsidR="00651C8F" w:rsidRPr="00E1513C" w:rsidRDefault="00651C8F" w:rsidP="00651C8F">
            <w:pPr>
              <w:pStyle w:val="TableParagraph"/>
              <w:numPr>
                <w:ilvl w:val="0"/>
                <w:numId w:val="30"/>
              </w:numPr>
              <w:tabs>
                <w:tab w:val="left" w:pos="731"/>
                <w:tab w:val="left" w:pos="732"/>
              </w:tabs>
              <w:ind w:left="473" w:right="113"/>
            </w:pPr>
            <w:r w:rsidRPr="00E1513C">
              <w:t xml:space="preserve">façade articulation, including </w:t>
            </w:r>
            <w:proofErr w:type="gramStart"/>
            <w:r w:rsidRPr="00E1513C">
              <w:t>balconies;</w:t>
            </w:r>
            <w:proofErr w:type="gramEnd"/>
          </w:p>
          <w:p w14:paraId="35B313E1" w14:textId="77777777" w:rsidR="00651C8F" w:rsidRPr="00E1513C" w:rsidRDefault="00651C8F" w:rsidP="00651C8F">
            <w:pPr>
              <w:pStyle w:val="TableParagraph"/>
              <w:numPr>
                <w:ilvl w:val="0"/>
                <w:numId w:val="30"/>
              </w:numPr>
              <w:tabs>
                <w:tab w:val="left" w:pos="731"/>
                <w:tab w:val="left" w:pos="732"/>
              </w:tabs>
              <w:ind w:left="473" w:right="113"/>
            </w:pPr>
            <w:r w:rsidRPr="00E1513C">
              <w:t>building materials, colours and textures; and</w:t>
            </w:r>
          </w:p>
          <w:p w14:paraId="320E6399" w14:textId="77777777" w:rsidR="00651C8F" w:rsidRPr="00E1513C" w:rsidRDefault="00651C8F" w:rsidP="00651C8F">
            <w:pPr>
              <w:pStyle w:val="TableParagraph"/>
              <w:numPr>
                <w:ilvl w:val="0"/>
                <w:numId w:val="30"/>
              </w:numPr>
              <w:tabs>
                <w:tab w:val="left" w:pos="731"/>
                <w:tab w:val="left" w:pos="732"/>
              </w:tabs>
              <w:ind w:left="473" w:right="113"/>
            </w:pPr>
            <w:r w:rsidRPr="00E1513C">
              <w:t>clothes drying facilities being screened from public view.</w:t>
            </w:r>
          </w:p>
          <w:p w14:paraId="6D0FBBA5" w14:textId="77777777" w:rsidR="00651C8F" w:rsidRDefault="00651C8F" w:rsidP="00651C8F">
            <w:pPr>
              <w:pStyle w:val="TableParagraph"/>
              <w:ind w:left="113" w:right="113"/>
              <w:rPr>
                <w:b/>
              </w:rPr>
            </w:pPr>
          </w:p>
          <w:p w14:paraId="0F9EABB2" w14:textId="77777777" w:rsidR="00651C8F" w:rsidRPr="00E1513C" w:rsidRDefault="00651C8F" w:rsidP="00651C8F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AO6.2</w:t>
            </w:r>
          </w:p>
          <w:p w14:paraId="2208926B" w14:textId="552D7DCA" w:rsidR="00755467" w:rsidRPr="00E1513C" w:rsidRDefault="00651C8F" w:rsidP="00651C8F">
            <w:pPr>
              <w:pStyle w:val="TableParagraph"/>
              <w:ind w:left="113" w:right="113"/>
              <w:rPr>
                <w:b/>
              </w:rPr>
            </w:pPr>
            <w:r w:rsidRPr="00E1513C">
              <w:t>Building services, equipment, and operational areas are screened so as not to be visible from the road and other public areas and adjoining residences.</w:t>
            </w:r>
          </w:p>
        </w:tc>
        <w:tc>
          <w:tcPr>
            <w:tcW w:w="5670" w:type="dxa"/>
          </w:tcPr>
          <w:p w14:paraId="3DE5E405" w14:textId="77777777" w:rsidR="00755467" w:rsidRPr="007113DB" w:rsidRDefault="00755467" w:rsidP="00755467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  <w:tr w:rsidR="00651C8F" w:rsidRPr="00BA6927" w14:paraId="7F016350" w14:textId="77777777" w:rsidTr="00FB06B8">
        <w:trPr>
          <w:trHeight w:val="20"/>
        </w:trPr>
        <w:tc>
          <w:tcPr>
            <w:tcW w:w="15319" w:type="dxa"/>
            <w:gridSpan w:val="3"/>
          </w:tcPr>
          <w:p w14:paraId="7E9D98F1" w14:textId="453F66B3" w:rsidR="00651C8F" w:rsidRPr="007113DB" w:rsidRDefault="00651C8F" w:rsidP="00755467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  <w:r w:rsidRPr="00E1513C">
              <w:rPr>
                <w:b/>
              </w:rPr>
              <w:t>Landscaping</w:t>
            </w:r>
          </w:p>
        </w:tc>
      </w:tr>
      <w:tr w:rsidR="00755467" w:rsidRPr="00BA6927" w14:paraId="7AAFA47F" w14:textId="77777777" w:rsidTr="00261828">
        <w:trPr>
          <w:trHeight w:val="20"/>
        </w:trPr>
        <w:tc>
          <w:tcPr>
            <w:tcW w:w="4620" w:type="dxa"/>
          </w:tcPr>
          <w:p w14:paraId="2767D560" w14:textId="77777777" w:rsidR="00755467" w:rsidRPr="00E1513C" w:rsidRDefault="00755467" w:rsidP="00755467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PO7</w:t>
            </w:r>
          </w:p>
          <w:p w14:paraId="55717DF2" w14:textId="77777777" w:rsidR="00755467" w:rsidRPr="00E1513C" w:rsidRDefault="00755467" w:rsidP="00755467">
            <w:pPr>
              <w:pStyle w:val="TableParagraph"/>
              <w:ind w:left="113" w:right="113"/>
            </w:pPr>
            <w:r w:rsidRPr="00E1513C">
              <w:t>Landscaping:</w:t>
            </w:r>
          </w:p>
          <w:p w14:paraId="7DF97DFC" w14:textId="77777777" w:rsidR="00755467" w:rsidRPr="00E1513C" w:rsidRDefault="00755467" w:rsidP="00755467">
            <w:pPr>
              <w:pStyle w:val="TableParagraph"/>
              <w:numPr>
                <w:ilvl w:val="0"/>
                <w:numId w:val="31"/>
              </w:numPr>
              <w:ind w:left="473" w:right="113"/>
            </w:pPr>
            <w:r w:rsidRPr="00E1513C">
              <w:t>protects and enhances the character and</w:t>
            </w:r>
            <w:r>
              <w:t xml:space="preserve"> </w:t>
            </w:r>
            <w:r w:rsidRPr="00E1513C">
              <w:t>amenity of the centre; and</w:t>
            </w:r>
          </w:p>
          <w:p w14:paraId="5E27FCAC" w14:textId="67631AEA" w:rsidR="00755467" w:rsidRPr="00E1513C" w:rsidRDefault="00755467" w:rsidP="00755467">
            <w:pPr>
              <w:ind w:left="113" w:right="113"/>
              <w:rPr>
                <w:b/>
              </w:rPr>
            </w:pPr>
            <w:r w:rsidRPr="00E1513C">
              <w:lastRenderedPageBreak/>
              <w:t>is designed and maintained to provide</w:t>
            </w:r>
            <w:r>
              <w:t xml:space="preserve"> </w:t>
            </w:r>
            <w:r w:rsidRPr="00E1513C">
              <w:t>informal surveillance and clear sight lines</w:t>
            </w:r>
            <w:r>
              <w:t xml:space="preserve"> </w:t>
            </w:r>
            <w:r w:rsidRPr="00E1513C">
              <w:t>on access ways and to other public</w:t>
            </w:r>
            <w:r>
              <w:t xml:space="preserve"> </w:t>
            </w:r>
            <w:r w:rsidRPr="00E1513C">
              <w:t>spaces.</w:t>
            </w:r>
          </w:p>
        </w:tc>
        <w:tc>
          <w:tcPr>
            <w:tcW w:w="5029" w:type="dxa"/>
          </w:tcPr>
          <w:p w14:paraId="258F272E" w14:textId="77777777" w:rsidR="0016577D" w:rsidRPr="00E1513C" w:rsidRDefault="0016577D" w:rsidP="0016577D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lastRenderedPageBreak/>
              <w:t>AO7.1</w:t>
            </w:r>
          </w:p>
          <w:p w14:paraId="7FDEDFCE" w14:textId="77777777" w:rsidR="0016577D" w:rsidRPr="00E1513C" w:rsidRDefault="0016577D" w:rsidP="0016577D">
            <w:pPr>
              <w:pStyle w:val="TableParagraph"/>
              <w:ind w:left="113" w:right="113"/>
            </w:pPr>
            <w:r w:rsidRPr="00E1513C">
              <w:t>A minimum of one (1) shade tree is provided for every six car parking spaces.</w:t>
            </w:r>
          </w:p>
          <w:p w14:paraId="243CE8B5" w14:textId="77777777" w:rsidR="0016577D" w:rsidRPr="00E1513C" w:rsidRDefault="0016577D" w:rsidP="0016577D">
            <w:pPr>
              <w:pStyle w:val="TableParagraph"/>
              <w:ind w:left="113" w:right="113"/>
              <w:rPr>
                <w:b/>
                <w:sz w:val="19"/>
              </w:rPr>
            </w:pPr>
          </w:p>
          <w:p w14:paraId="4FB83FCB" w14:textId="77777777" w:rsidR="0016577D" w:rsidRPr="00E1513C" w:rsidRDefault="0016577D" w:rsidP="0016577D">
            <w:pPr>
              <w:pStyle w:val="TableParagraph"/>
              <w:ind w:left="113" w:right="113"/>
              <w:rPr>
                <w:b/>
              </w:rPr>
            </w:pPr>
            <w:r w:rsidRPr="00E1513C">
              <w:rPr>
                <w:b/>
              </w:rPr>
              <w:t>AO7.2</w:t>
            </w:r>
          </w:p>
          <w:p w14:paraId="6A7438FE" w14:textId="77777777" w:rsidR="0016577D" w:rsidRDefault="0016577D" w:rsidP="0016577D">
            <w:pPr>
              <w:pStyle w:val="TableParagraph"/>
              <w:ind w:left="113" w:right="113"/>
            </w:pPr>
            <w:r w:rsidRPr="00E1513C">
              <w:lastRenderedPageBreak/>
              <w:t>A densely planted landscape buffer with a minimum width of one (1) metre minimum is provided to all vehicle movement and car parking areas adjacent to buildings and site boundaries.</w:t>
            </w:r>
          </w:p>
          <w:p w14:paraId="07BB57D8" w14:textId="77777777" w:rsidR="0016577D" w:rsidRDefault="0016577D" w:rsidP="0016577D">
            <w:pPr>
              <w:pStyle w:val="TableParagraph"/>
              <w:ind w:left="113" w:right="113"/>
            </w:pPr>
          </w:p>
          <w:p w14:paraId="3925BEB4" w14:textId="77777777" w:rsidR="0016577D" w:rsidRPr="00F94631" w:rsidRDefault="0016577D" w:rsidP="0016577D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Where adjoining land in a Residential zone category</w:t>
            </w:r>
          </w:p>
          <w:p w14:paraId="7811D2EF" w14:textId="77777777" w:rsidR="0016577D" w:rsidRPr="00F94631" w:rsidRDefault="0016577D" w:rsidP="0016577D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AO7.3</w:t>
            </w:r>
          </w:p>
          <w:p w14:paraId="3F15364A" w14:textId="5ED608F8" w:rsidR="00755467" w:rsidRPr="00E1513C" w:rsidRDefault="0016577D" w:rsidP="0016577D">
            <w:pPr>
              <w:pStyle w:val="TableParagraph"/>
              <w:ind w:left="113" w:right="113"/>
              <w:rPr>
                <w:b/>
              </w:rPr>
            </w:pPr>
            <w:r w:rsidRPr="00F94631">
              <w:t>A solid fence having a minimum height of</w:t>
            </w:r>
            <w:r>
              <w:t xml:space="preserve"> 1.8 metres is provided on the shared boundary.</w:t>
            </w:r>
          </w:p>
        </w:tc>
        <w:tc>
          <w:tcPr>
            <w:tcW w:w="5670" w:type="dxa"/>
          </w:tcPr>
          <w:p w14:paraId="2BD08CA0" w14:textId="77777777" w:rsidR="00755467" w:rsidRPr="007113DB" w:rsidRDefault="00755467" w:rsidP="00755467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  <w:tr w:rsidR="00F760FE" w:rsidRPr="00BA6927" w14:paraId="76F23426" w14:textId="77777777" w:rsidTr="004E449D">
        <w:trPr>
          <w:trHeight w:val="20"/>
        </w:trPr>
        <w:tc>
          <w:tcPr>
            <w:tcW w:w="15319" w:type="dxa"/>
            <w:gridSpan w:val="3"/>
          </w:tcPr>
          <w:p w14:paraId="42F2C812" w14:textId="358C54DF" w:rsidR="00F760FE" w:rsidRPr="007113DB" w:rsidRDefault="00F760FE" w:rsidP="00755467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  <w:r w:rsidRPr="00F94631">
              <w:rPr>
                <w:b/>
              </w:rPr>
              <w:t>Amenity Protection</w:t>
            </w:r>
          </w:p>
        </w:tc>
      </w:tr>
      <w:tr w:rsidR="00755467" w:rsidRPr="00BA6927" w14:paraId="00B8A9FA" w14:textId="77777777" w:rsidTr="00261828">
        <w:trPr>
          <w:trHeight w:val="20"/>
        </w:trPr>
        <w:tc>
          <w:tcPr>
            <w:tcW w:w="4620" w:type="dxa"/>
          </w:tcPr>
          <w:p w14:paraId="5888DD84" w14:textId="77777777" w:rsidR="00755467" w:rsidRPr="00F94631" w:rsidRDefault="00755467" w:rsidP="00755467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PO8</w:t>
            </w:r>
          </w:p>
          <w:p w14:paraId="15A6F4FC" w14:textId="77777777" w:rsidR="00755467" w:rsidRPr="00F94631" w:rsidRDefault="00755467" w:rsidP="00755467">
            <w:pPr>
              <w:pStyle w:val="TableParagraph"/>
              <w:ind w:left="113" w:right="113"/>
            </w:pPr>
            <w:r w:rsidRPr="00F94631">
              <w:t>Development must not detract from the amenity of the local area, having regard to:</w:t>
            </w:r>
          </w:p>
          <w:p w14:paraId="41112DD4" w14:textId="77777777" w:rsidR="00755467" w:rsidRPr="00F94631" w:rsidRDefault="00755467" w:rsidP="00755467">
            <w:pPr>
              <w:pStyle w:val="TableParagraph"/>
              <w:numPr>
                <w:ilvl w:val="0"/>
                <w:numId w:val="32"/>
              </w:numPr>
              <w:tabs>
                <w:tab w:val="left" w:pos="674"/>
                <w:tab w:val="left" w:pos="675"/>
              </w:tabs>
              <w:ind w:left="473" w:right="113"/>
            </w:pPr>
            <w:proofErr w:type="gramStart"/>
            <w:r w:rsidRPr="00F94631">
              <w:t>noise;</w:t>
            </w:r>
            <w:proofErr w:type="gramEnd"/>
          </w:p>
          <w:p w14:paraId="4B180664" w14:textId="77777777" w:rsidR="00755467" w:rsidRPr="00F94631" w:rsidRDefault="00755467" w:rsidP="00755467">
            <w:pPr>
              <w:pStyle w:val="TableParagraph"/>
              <w:numPr>
                <w:ilvl w:val="0"/>
                <w:numId w:val="32"/>
              </w:numPr>
              <w:tabs>
                <w:tab w:val="left" w:pos="667"/>
              </w:tabs>
              <w:ind w:left="473" w:right="113"/>
            </w:pPr>
            <w:proofErr w:type="gramStart"/>
            <w:r w:rsidRPr="00F94631">
              <w:t>traffic;</w:t>
            </w:r>
            <w:proofErr w:type="gramEnd"/>
          </w:p>
          <w:p w14:paraId="73BA0523" w14:textId="77777777" w:rsidR="00755467" w:rsidRPr="00F94631" w:rsidRDefault="00755467" w:rsidP="00755467">
            <w:pPr>
              <w:pStyle w:val="TableParagraph"/>
              <w:numPr>
                <w:ilvl w:val="0"/>
                <w:numId w:val="32"/>
              </w:numPr>
              <w:tabs>
                <w:tab w:val="left" w:pos="670"/>
              </w:tabs>
              <w:ind w:left="473" w:right="113"/>
            </w:pPr>
            <w:r w:rsidRPr="00F94631">
              <w:t xml:space="preserve">advertising </w:t>
            </w:r>
            <w:proofErr w:type="gramStart"/>
            <w:r w:rsidRPr="00F94631">
              <w:t>devices;</w:t>
            </w:r>
            <w:proofErr w:type="gramEnd"/>
          </w:p>
          <w:p w14:paraId="4264159D" w14:textId="77777777" w:rsidR="00755467" w:rsidRPr="00F94631" w:rsidRDefault="00755467" w:rsidP="00755467">
            <w:pPr>
              <w:pStyle w:val="TableParagraph"/>
              <w:numPr>
                <w:ilvl w:val="0"/>
                <w:numId w:val="32"/>
              </w:numPr>
              <w:tabs>
                <w:tab w:val="left" w:pos="670"/>
              </w:tabs>
              <w:ind w:left="473" w:right="113"/>
            </w:pPr>
            <w:r w:rsidRPr="00F94631">
              <w:t xml:space="preserve">visual </w:t>
            </w:r>
            <w:proofErr w:type="gramStart"/>
            <w:r w:rsidRPr="00F94631">
              <w:t>amenity;</w:t>
            </w:r>
            <w:proofErr w:type="gramEnd"/>
          </w:p>
          <w:p w14:paraId="149DF24B" w14:textId="77777777" w:rsidR="00755467" w:rsidRPr="00F94631" w:rsidRDefault="00755467" w:rsidP="00755467">
            <w:pPr>
              <w:pStyle w:val="TableParagraph"/>
              <w:numPr>
                <w:ilvl w:val="0"/>
                <w:numId w:val="32"/>
              </w:numPr>
              <w:tabs>
                <w:tab w:val="left" w:pos="670"/>
              </w:tabs>
              <w:ind w:left="473" w:right="113"/>
            </w:pPr>
            <w:proofErr w:type="gramStart"/>
            <w:r w:rsidRPr="00F94631">
              <w:t>privacy;</w:t>
            </w:r>
            <w:proofErr w:type="gramEnd"/>
          </w:p>
          <w:p w14:paraId="0A64DAF3" w14:textId="77777777" w:rsidR="00755467" w:rsidRPr="00F94631" w:rsidRDefault="00755467" w:rsidP="00755467">
            <w:pPr>
              <w:pStyle w:val="TableParagraph"/>
              <w:numPr>
                <w:ilvl w:val="0"/>
                <w:numId w:val="32"/>
              </w:numPr>
              <w:tabs>
                <w:tab w:val="left" w:pos="669"/>
                <w:tab w:val="left" w:pos="670"/>
              </w:tabs>
              <w:ind w:left="473" w:right="113"/>
            </w:pPr>
            <w:proofErr w:type="spellStart"/>
            <w:r w:rsidRPr="00F94631">
              <w:t>odour</w:t>
            </w:r>
            <w:proofErr w:type="spellEnd"/>
            <w:r w:rsidRPr="00F94631">
              <w:t>; or</w:t>
            </w:r>
          </w:p>
          <w:p w14:paraId="75EC8CE9" w14:textId="5A305C7D" w:rsidR="00755467" w:rsidRPr="00E1513C" w:rsidRDefault="00755467" w:rsidP="00755467">
            <w:pPr>
              <w:ind w:left="113" w:right="113"/>
              <w:rPr>
                <w:b/>
              </w:rPr>
            </w:pPr>
            <w:r w:rsidRPr="00F94631">
              <w:t>emissions.</w:t>
            </w:r>
          </w:p>
        </w:tc>
        <w:tc>
          <w:tcPr>
            <w:tcW w:w="5029" w:type="dxa"/>
          </w:tcPr>
          <w:p w14:paraId="7BCE610F" w14:textId="77777777" w:rsidR="0017040E" w:rsidRPr="00F94631" w:rsidRDefault="0017040E" w:rsidP="0017040E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AO8</w:t>
            </w:r>
          </w:p>
          <w:p w14:paraId="0EE6D011" w14:textId="376E79CE" w:rsidR="00755467" w:rsidRPr="00E1513C" w:rsidRDefault="0017040E" w:rsidP="0017040E">
            <w:pPr>
              <w:pStyle w:val="TableParagraph"/>
              <w:ind w:left="113" w:right="113"/>
              <w:rPr>
                <w:b/>
              </w:rPr>
            </w:pPr>
            <w:r w:rsidRPr="00F94631">
              <w:t>No acceptable outcome.</w:t>
            </w:r>
          </w:p>
        </w:tc>
        <w:tc>
          <w:tcPr>
            <w:tcW w:w="5670" w:type="dxa"/>
          </w:tcPr>
          <w:p w14:paraId="47C8E2FC" w14:textId="77777777" w:rsidR="00755467" w:rsidRPr="007113DB" w:rsidRDefault="00755467" w:rsidP="00755467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  <w:tr w:rsidR="00B076D1" w:rsidRPr="00BA6927" w14:paraId="0A144E5F" w14:textId="77777777" w:rsidTr="00261828">
        <w:trPr>
          <w:trHeight w:val="20"/>
        </w:trPr>
        <w:tc>
          <w:tcPr>
            <w:tcW w:w="4620" w:type="dxa"/>
          </w:tcPr>
          <w:p w14:paraId="0C591ACE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PO9</w:t>
            </w:r>
          </w:p>
          <w:p w14:paraId="5165F9D2" w14:textId="77777777" w:rsidR="00B076D1" w:rsidRPr="00F94631" w:rsidRDefault="00B076D1" w:rsidP="00B076D1">
            <w:pPr>
              <w:pStyle w:val="TableParagraph"/>
              <w:ind w:left="113" w:right="113"/>
              <w:jc w:val="both"/>
            </w:pPr>
            <w:r w:rsidRPr="00F94631">
              <w:t xml:space="preserve">Development must </w:t>
            </w:r>
            <w:proofErr w:type="gramStart"/>
            <w:r w:rsidRPr="00F94631">
              <w:t>take into account</w:t>
            </w:r>
            <w:proofErr w:type="gramEnd"/>
            <w:r w:rsidRPr="00F94631">
              <w:t xml:space="preserve"> and seek to ameliorate any existing negative environmental impacts, having regard to:</w:t>
            </w:r>
          </w:p>
          <w:p w14:paraId="502DD4D7" w14:textId="77777777" w:rsidR="00B076D1" w:rsidRPr="00F94631" w:rsidRDefault="00B076D1" w:rsidP="00B076D1">
            <w:pPr>
              <w:pStyle w:val="TableParagraph"/>
              <w:numPr>
                <w:ilvl w:val="0"/>
                <w:numId w:val="33"/>
              </w:numPr>
              <w:tabs>
                <w:tab w:val="left" w:pos="666"/>
                <w:tab w:val="left" w:pos="667"/>
              </w:tabs>
              <w:ind w:left="473" w:right="113"/>
            </w:pPr>
            <w:proofErr w:type="gramStart"/>
            <w:r w:rsidRPr="00F94631">
              <w:t>noise;</w:t>
            </w:r>
            <w:proofErr w:type="gramEnd"/>
          </w:p>
          <w:p w14:paraId="094B16FF" w14:textId="77777777" w:rsidR="00B076D1" w:rsidRPr="00F94631" w:rsidRDefault="00B076D1" w:rsidP="00B076D1">
            <w:pPr>
              <w:pStyle w:val="TableParagraph"/>
              <w:numPr>
                <w:ilvl w:val="0"/>
                <w:numId w:val="33"/>
              </w:numPr>
              <w:tabs>
                <w:tab w:val="left" w:pos="666"/>
                <w:tab w:val="left" w:pos="667"/>
              </w:tabs>
              <w:ind w:left="473" w:right="113"/>
            </w:pPr>
            <w:r w:rsidRPr="00F94631">
              <w:t xml:space="preserve">hours of </w:t>
            </w:r>
            <w:proofErr w:type="gramStart"/>
            <w:r w:rsidRPr="00F94631">
              <w:t>operation;</w:t>
            </w:r>
            <w:proofErr w:type="gramEnd"/>
          </w:p>
          <w:p w14:paraId="20BDF4C7" w14:textId="77777777" w:rsidR="00B076D1" w:rsidRPr="00F94631" w:rsidRDefault="00B076D1" w:rsidP="00B076D1">
            <w:pPr>
              <w:pStyle w:val="TableParagraph"/>
              <w:numPr>
                <w:ilvl w:val="0"/>
                <w:numId w:val="33"/>
              </w:numPr>
              <w:tabs>
                <w:tab w:val="left" w:pos="666"/>
                <w:tab w:val="left" w:pos="667"/>
              </w:tabs>
              <w:ind w:left="473" w:right="113"/>
            </w:pPr>
            <w:proofErr w:type="gramStart"/>
            <w:r w:rsidRPr="00F94631">
              <w:t>traffic;</w:t>
            </w:r>
            <w:proofErr w:type="gramEnd"/>
          </w:p>
          <w:p w14:paraId="32643C5A" w14:textId="77777777" w:rsidR="00B076D1" w:rsidRPr="00F94631" w:rsidRDefault="00B076D1" w:rsidP="00B076D1">
            <w:pPr>
              <w:pStyle w:val="TableParagraph"/>
              <w:numPr>
                <w:ilvl w:val="0"/>
                <w:numId w:val="33"/>
              </w:numPr>
              <w:tabs>
                <w:tab w:val="left" w:pos="669"/>
                <w:tab w:val="left" w:pos="670"/>
              </w:tabs>
              <w:ind w:left="473" w:right="113"/>
            </w:pPr>
            <w:r w:rsidRPr="00F94631">
              <w:t xml:space="preserve">advertising </w:t>
            </w:r>
            <w:proofErr w:type="gramStart"/>
            <w:r w:rsidRPr="00F94631">
              <w:t>devices;</w:t>
            </w:r>
            <w:proofErr w:type="gramEnd"/>
          </w:p>
          <w:p w14:paraId="4A6C1C2A" w14:textId="77777777" w:rsidR="00B076D1" w:rsidRPr="00F94631" w:rsidRDefault="00B076D1" w:rsidP="00B076D1">
            <w:pPr>
              <w:pStyle w:val="TableParagraph"/>
              <w:numPr>
                <w:ilvl w:val="0"/>
                <w:numId w:val="33"/>
              </w:numPr>
              <w:tabs>
                <w:tab w:val="left" w:pos="669"/>
                <w:tab w:val="left" w:pos="670"/>
              </w:tabs>
              <w:ind w:left="473" w:right="113"/>
            </w:pPr>
            <w:r w:rsidRPr="00F94631">
              <w:t xml:space="preserve">visual </w:t>
            </w:r>
            <w:proofErr w:type="gramStart"/>
            <w:r w:rsidRPr="00F94631">
              <w:t>amenity;</w:t>
            </w:r>
            <w:proofErr w:type="gramEnd"/>
          </w:p>
          <w:p w14:paraId="30815E6F" w14:textId="77777777" w:rsidR="00B076D1" w:rsidRPr="00F94631" w:rsidRDefault="00B076D1" w:rsidP="00B076D1">
            <w:pPr>
              <w:pStyle w:val="TableParagraph"/>
              <w:numPr>
                <w:ilvl w:val="0"/>
                <w:numId w:val="33"/>
              </w:numPr>
              <w:tabs>
                <w:tab w:val="left" w:pos="669"/>
                <w:tab w:val="left" w:pos="670"/>
              </w:tabs>
              <w:ind w:left="473" w:right="113"/>
            </w:pPr>
            <w:proofErr w:type="gramStart"/>
            <w:r w:rsidRPr="00F94631">
              <w:t>privacy;</w:t>
            </w:r>
            <w:proofErr w:type="gramEnd"/>
          </w:p>
          <w:p w14:paraId="6E10A6BB" w14:textId="77777777" w:rsidR="00B076D1" w:rsidRPr="00F94631" w:rsidRDefault="00B076D1" w:rsidP="00B076D1">
            <w:pPr>
              <w:pStyle w:val="TableParagraph"/>
              <w:numPr>
                <w:ilvl w:val="0"/>
                <w:numId w:val="33"/>
              </w:numPr>
              <w:tabs>
                <w:tab w:val="left" w:pos="669"/>
                <w:tab w:val="left" w:pos="670"/>
              </w:tabs>
              <w:ind w:left="473" w:right="113"/>
            </w:pPr>
            <w:proofErr w:type="spellStart"/>
            <w:r w:rsidRPr="00F94631">
              <w:t>odour</w:t>
            </w:r>
            <w:proofErr w:type="spellEnd"/>
            <w:r w:rsidRPr="00F94631">
              <w:t>; or</w:t>
            </w:r>
          </w:p>
          <w:p w14:paraId="60D879AE" w14:textId="0FD94F0B" w:rsidR="00B076D1" w:rsidRPr="00E1513C" w:rsidRDefault="00B076D1" w:rsidP="00B076D1">
            <w:pPr>
              <w:ind w:left="113" w:right="113"/>
              <w:rPr>
                <w:b/>
              </w:rPr>
            </w:pPr>
            <w:r w:rsidRPr="00F94631">
              <w:lastRenderedPageBreak/>
              <w:t>emissions.</w:t>
            </w:r>
          </w:p>
        </w:tc>
        <w:tc>
          <w:tcPr>
            <w:tcW w:w="5029" w:type="dxa"/>
          </w:tcPr>
          <w:p w14:paraId="309173CC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lastRenderedPageBreak/>
              <w:t>AO9</w:t>
            </w:r>
          </w:p>
          <w:p w14:paraId="6BC0FAA0" w14:textId="571427EF" w:rsidR="00B076D1" w:rsidRPr="00E1513C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t>No acceptable outcome.</w:t>
            </w:r>
          </w:p>
        </w:tc>
        <w:tc>
          <w:tcPr>
            <w:tcW w:w="5670" w:type="dxa"/>
          </w:tcPr>
          <w:p w14:paraId="655BB3F9" w14:textId="77777777" w:rsidR="00B076D1" w:rsidRPr="007113DB" w:rsidRDefault="00B076D1" w:rsidP="00B076D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  <w:tr w:rsidR="00B076D1" w:rsidRPr="00BA6927" w14:paraId="00DAEC3B" w14:textId="77777777" w:rsidTr="00261828">
        <w:trPr>
          <w:trHeight w:val="20"/>
        </w:trPr>
        <w:tc>
          <w:tcPr>
            <w:tcW w:w="4620" w:type="dxa"/>
          </w:tcPr>
          <w:p w14:paraId="1EBA1D42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PO10</w:t>
            </w:r>
          </w:p>
          <w:p w14:paraId="0DC9DC18" w14:textId="650132A8" w:rsidR="00B076D1" w:rsidRPr="00E1513C" w:rsidRDefault="00B076D1" w:rsidP="00B076D1">
            <w:pPr>
              <w:ind w:left="113" w:right="113"/>
              <w:rPr>
                <w:b/>
              </w:rPr>
            </w:pPr>
            <w:r w:rsidRPr="00F94631">
              <w:t>Lighting enhances the safety of the Local Centre whilst protecting sensitive receiving environments from undue glare or light overspill.</w:t>
            </w:r>
          </w:p>
        </w:tc>
        <w:tc>
          <w:tcPr>
            <w:tcW w:w="5029" w:type="dxa"/>
          </w:tcPr>
          <w:p w14:paraId="3B4CD8F6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AO10.1</w:t>
            </w:r>
          </w:p>
          <w:p w14:paraId="0E2C26BE" w14:textId="77777777" w:rsidR="00B076D1" w:rsidRPr="00F94631" w:rsidRDefault="00B076D1" w:rsidP="00B076D1">
            <w:pPr>
              <w:pStyle w:val="TableParagraph"/>
              <w:spacing w:after="120"/>
              <w:ind w:left="113" w:right="113"/>
            </w:pPr>
            <w:r w:rsidRPr="00F94631">
              <w:t>Lighting is provided to the building frontage, pedestrian access areas, vehicle movement and car parking areas.</w:t>
            </w:r>
          </w:p>
          <w:p w14:paraId="4ED7048A" w14:textId="77777777" w:rsidR="00B076D1" w:rsidRPr="00B84084" w:rsidRDefault="00B076D1" w:rsidP="00B076D1">
            <w:pPr>
              <w:pStyle w:val="TableParagraph"/>
              <w:ind w:left="113" w:right="113"/>
              <w:rPr>
                <w:sz w:val="18"/>
                <w:szCs w:val="18"/>
              </w:rPr>
            </w:pPr>
            <w:r w:rsidRPr="00B84084">
              <w:rPr>
                <w:sz w:val="18"/>
                <w:szCs w:val="18"/>
              </w:rPr>
              <w:t>Note—compliance can be demonstrated through application of the Crime Prevention through Environmental Design (CPTED) principles.</w:t>
            </w:r>
          </w:p>
          <w:p w14:paraId="29D600D8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  <w:sz w:val="19"/>
              </w:rPr>
            </w:pPr>
          </w:p>
          <w:p w14:paraId="11EB28BA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AO10.2</w:t>
            </w:r>
          </w:p>
          <w:p w14:paraId="140D3C3E" w14:textId="05861B46" w:rsidR="00B076D1" w:rsidRPr="00E1513C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t>Lighting does not exceed 8.0 lux at 1.5 metres beyond the boundary of the site.</w:t>
            </w:r>
          </w:p>
        </w:tc>
        <w:tc>
          <w:tcPr>
            <w:tcW w:w="5670" w:type="dxa"/>
          </w:tcPr>
          <w:p w14:paraId="5ACCE0DA" w14:textId="77777777" w:rsidR="00B076D1" w:rsidRPr="007113DB" w:rsidRDefault="00B076D1" w:rsidP="00B076D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  <w:tr w:rsidR="00B076D1" w:rsidRPr="00BA6927" w14:paraId="6DB74DF2" w14:textId="77777777" w:rsidTr="00261828">
        <w:trPr>
          <w:trHeight w:val="20"/>
        </w:trPr>
        <w:tc>
          <w:tcPr>
            <w:tcW w:w="4620" w:type="dxa"/>
          </w:tcPr>
          <w:p w14:paraId="7A015462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PO11</w:t>
            </w:r>
          </w:p>
          <w:p w14:paraId="200F2F63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Where adjoining land in a Residential zone category</w:t>
            </w:r>
          </w:p>
          <w:p w14:paraId="01999F24" w14:textId="77777777" w:rsidR="00B076D1" w:rsidRPr="00F94631" w:rsidRDefault="00B076D1" w:rsidP="00B076D1">
            <w:pPr>
              <w:pStyle w:val="TableParagraph"/>
              <w:ind w:left="113" w:right="113"/>
            </w:pPr>
            <w:r w:rsidRPr="00F94631">
              <w:t>Development must not detract from the amenity of the local area having regard to:</w:t>
            </w:r>
          </w:p>
          <w:p w14:paraId="7D7AE810" w14:textId="77777777" w:rsidR="00B076D1" w:rsidRPr="00F94631" w:rsidRDefault="00B076D1" w:rsidP="00B076D1">
            <w:pPr>
              <w:pStyle w:val="TableParagraph"/>
              <w:numPr>
                <w:ilvl w:val="0"/>
                <w:numId w:val="34"/>
              </w:numPr>
              <w:tabs>
                <w:tab w:val="left" w:pos="666"/>
                <w:tab w:val="left" w:pos="667"/>
              </w:tabs>
              <w:ind w:left="473" w:right="113"/>
            </w:pPr>
            <w:r w:rsidRPr="00F94631">
              <w:t>operating hours; and</w:t>
            </w:r>
          </w:p>
          <w:p w14:paraId="6A067E46" w14:textId="6F25B2A9" w:rsidR="00B076D1" w:rsidRPr="00E1513C" w:rsidRDefault="00B076D1" w:rsidP="00B076D1">
            <w:pPr>
              <w:ind w:left="113" w:right="113"/>
              <w:rPr>
                <w:b/>
              </w:rPr>
            </w:pPr>
            <w:r w:rsidRPr="00F94631">
              <w:t>the loading and unloading of goods.</w:t>
            </w:r>
          </w:p>
        </w:tc>
        <w:tc>
          <w:tcPr>
            <w:tcW w:w="5029" w:type="dxa"/>
          </w:tcPr>
          <w:p w14:paraId="04D10CA6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AO11.1</w:t>
            </w:r>
          </w:p>
          <w:p w14:paraId="62DEE2F7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Where adjoining land in a Residential zone category</w:t>
            </w:r>
          </w:p>
          <w:p w14:paraId="1BB61372" w14:textId="77777777" w:rsidR="00B076D1" w:rsidRPr="00F94631" w:rsidRDefault="00B076D1" w:rsidP="00B076D1">
            <w:pPr>
              <w:pStyle w:val="TableParagraph"/>
              <w:ind w:left="113" w:right="113"/>
            </w:pPr>
            <w:r w:rsidRPr="00F94631">
              <w:t>Operating hours are restricted to between 7.00am and 9.00pm.</w:t>
            </w:r>
          </w:p>
          <w:p w14:paraId="3314BD9A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  <w:sz w:val="19"/>
              </w:rPr>
            </w:pPr>
          </w:p>
          <w:p w14:paraId="3DBA97D5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AO11.2</w:t>
            </w:r>
          </w:p>
          <w:p w14:paraId="3A5FACE2" w14:textId="77777777" w:rsidR="00B076D1" w:rsidRPr="00F94631" w:rsidRDefault="00B076D1" w:rsidP="00B076D1">
            <w:pPr>
              <w:pStyle w:val="TableParagraph"/>
              <w:ind w:left="113" w:right="113"/>
            </w:pPr>
            <w:r w:rsidRPr="00F94631">
              <w:t>Loading and unloading of goods is restricted to between the following hours:</w:t>
            </w:r>
          </w:p>
          <w:p w14:paraId="0378202A" w14:textId="77777777" w:rsidR="00B076D1" w:rsidRPr="00F94631" w:rsidRDefault="00B076D1" w:rsidP="00B076D1">
            <w:pPr>
              <w:pStyle w:val="TableParagraph"/>
              <w:numPr>
                <w:ilvl w:val="0"/>
                <w:numId w:val="35"/>
              </w:numPr>
              <w:tabs>
                <w:tab w:val="left" w:pos="526"/>
              </w:tabs>
              <w:ind w:left="473" w:right="113"/>
            </w:pPr>
            <w:r w:rsidRPr="00F94631">
              <w:t xml:space="preserve">7.00am and 6.00pm Monday to </w:t>
            </w:r>
            <w:proofErr w:type="gramStart"/>
            <w:r w:rsidRPr="00F94631">
              <w:t>Friday;</w:t>
            </w:r>
            <w:proofErr w:type="gramEnd"/>
          </w:p>
          <w:p w14:paraId="3276985E" w14:textId="77777777" w:rsidR="00B076D1" w:rsidRPr="00F94631" w:rsidRDefault="00B076D1" w:rsidP="00B076D1">
            <w:pPr>
              <w:pStyle w:val="TableParagraph"/>
              <w:numPr>
                <w:ilvl w:val="0"/>
                <w:numId w:val="35"/>
              </w:numPr>
              <w:tabs>
                <w:tab w:val="left" w:pos="526"/>
              </w:tabs>
              <w:ind w:left="473" w:right="113"/>
            </w:pPr>
            <w:r w:rsidRPr="00F94631">
              <w:t>8.00am and 5.00</w:t>
            </w:r>
            <w:proofErr w:type="gramStart"/>
            <w:r w:rsidRPr="00F94631">
              <w:t>pm</w:t>
            </w:r>
            <w:proofErr w:type="gramEnd"/>
            <w:r w:rsidRPr="00F94631">
              <w:t xml:space="preserve"> Saturdays.</w:t>
            </w:r>
          </w:p>
          <w:p w14:paraId="0AC00EF7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</w:p>
          <w:p w14:paraId="050AD1C8" w14:textId="77777777" w:rsidR="00B076D1" w:rsidRPr="00F94631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rPr>
                <w:b/>
              </w:rPr>
              <w:t>AO11.3</w:t>
            </w:r>
          </w:p>
          <w:p w14:paraId="16272BBC" w14:textId="0B1E940A" w:rsidR="00B076D1" w:rsidRPr="00E1513C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94631">
              <w:t>No unloading or loading occurs on Sundays and public holidays.</w:t>
            </w:r>
          </w:p>
        </w:tc>
        <w:tc>
          <w:tcPr>
            <w:tcW w:w="5670" w:type="dxa"/>
          </w:tcPr>
          <w:p w14:paraId="77C578C6" w14:textId="77777777" w:rsidR="00B076D1" w:rsidRPr="007113DB" w:rsidRDefault="00B076D1" w:rsidP="00B076D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  <w:tr w:rsidR="00F760FE" w:rsidRPr="00BA6927" w14:paraId="53A11114" w14:textId="77777777" w:rsidTr="006275A6">
        <w:trPr>
          <w:trHeight w:val="20"/>
        </w:trPr>
        <w:tc>
          <w:tcPr>
            <w:tcW w:w="15319" w:type="dxa"/>
            <w:gridSpan w:val="3"/>
          </w:tcPr>
          <w:p w14:paraId="49E43A65" w14:textId="7700ED65" w:rsidR="00F760FE" w:rsidRPr="007113DB" w:rsidRDefault="00F760FE" w:rsidP="00B076D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  <w:r w:rsidRPr="00F94631">
              <w:rPr>
                <w:b/>
              </w:rPr>
              <w:t>Water Quality Management</w:t>
            </w:r>
          </w:p>
        </w:tc>
      </w:tr>
      <w:tr w:rsidR="00B076D1" w:rsidRPr="00BA6927" w14:paraId="57D56D2B" w14:textId="77777777" w:rsidTr="00261828">
        <w:trPr>
          <w:trHeight w:val="20"/>
        </w:trPr>
        <w:tc>
          <w:tcPr>
            <w:tcW w:w="4620" w:type="dxa"/>
          </w:tcPr>
          <w:p w14:paraId="0BAA5345" w14:textId="77777777" w:rsidR="00B076D1" w:rsidRPr="00B84084" w:rsidRDefault="00B076D1" w:rsidP="00B076D1">
            <w:pPr>
              <w:pStyle w:val="TableParagraph"/>
              <w:ind w:left="113" w:right="113"/>
              <w:rPr>
                <w:b/>
                <w:bCs/>
              </w:rPr>
            </w:pPr>
            <w:r w:rsidRPr="00B84084">
              <w:rPr>
                <w:b/>
                <w:bCs/>
              </w:rPr>
              <w:t>PO12</w:t>
            </w:r>
          </w:p>
          <w:p w14:paraId="003B3235" w14:textId="20492B2D" w:rsidR="00B076D1" w:rsidRPr="00E1513C" w:rsidRDefault="00B076D1" w:rsidP="00B076D1">
            <w:pPr>
              <w:ind w:left="113" w:right="113"/>
              <w:rPr>
                <w:b/>
              </w:rPr>
            </w:pPr>
            <w:r w:rsidRPr="00F619AF">
              <w:t>Development protects environmental values and facilitates the achievement of water quality objectives for Queensland waters.</w:t>
            </w:r>
          </w:p>
        </w:tc>
        <w:tc>
          <w:tcPr>
            <w:tcW w:w="5029" w:type="dxa"/>
          </w:tcPr>
          <w:p w14:paraId="4792C201" w14:textId="77777777" w:rsidR="00B076D1" w:rsidRPr="00B84084" w:rsidRDefault="00B076D1" w:rsidP="00B076D1">
            <w:pPr>
              <w:pStyle w:val="TableParagraph"/>
              <w:ind w:left="113" w:right="113"/>
              <w:rPr>
                <w:b/>
                <w:bCs/>
              </w:rPr>
            </w:pPr>
            <w:r w:rsidRPr="00B84084">
              <w:rPr>
                <w:b/>
                <w:bCs/>
              </w:rPr>
              <w:t>AO12</w:t>
            </w:r>
          </w:p>
          <w:p w14:paraId="7A01BF97" w14:textId="64297B79" w:rsidR="00B076D1" w:rsidRPr="00E1513C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619AF">
              <w:t>No acceptable outcome.</w:t>
            </w:r>
          </w:p>
        </w:tc>
        <w:tc>
          <w:tcPr>
            <w:tcW w:w="5670" w:type="dxa"/>
          </w:tcPr>
          <w:p w14:paraId="302007BB" w14:textId="77777777" w:rsidR="00B076D1" w:rsidRPr="007113DB" w:rsidRDefault="00B076D1" w:rsidP="00B076D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  <w:tr w:rsidR="00B076D1" w:rsidRPr="00BA6927" w14:paraId="6027C07E" w14:textId="77777777" w:rsidTr="00261828">
        <w:trPr>
          <w:trHeight w:val="20"/>
        </w:trPr>
        <w:tc>
          <w:tcPr>
            <w:tcW w:w="4620" w:type="dxa"/>
          </w:tcPr>
          <w:p w14:paraId="320A1E29" w14:textId="77777777" w:rsidR="00B076D1" w:rsidRPr="00F619AF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619AF">
              <w:rPr>
                <w:b/>
              </w:rPr>
              <w:lastRenderedPageBreak/>
              <w:t>PO13</w:t>
            </w:r>
          </w:p>
          <w:p w14:paraId="65B6461C" w14:textId="4933E94E" w:rsidR="00B076D1" w:rsidRPr="00E1513C" w:rsidRDefault="00B076D1" w:rsidP="00B076D1">
            <w:pPr>
              <w:ind w:left="113" w:right="113"/>
              <w:rPr>
                <w:b/>
              </w:rPr>
            </w:pPr>
            <w:r w:rsidRPr="00F619AF">
              <w:t xml:space="preserve">Development achieves the stormwater management design objectives specified in </w:t>
            </w:r>
            <w:r w:rsidRPr="00F619AF">
              <w:rPr>
                <w:b/>
              </w:rPr>
              <w:t xml:space="preserve">Table 6.2.3.2 </w:t>
            </w:r>
            <w:r>
              <w:rPr>
                <w:b/>
              </w:rPr>
              <w:t>–</w:t>
            </w:r>
            <w:r w:rsidRPr="00F619AF">
              <w:rPr>
                <w:b/>
              </w:rPr>
              <w:t xml:space="preserve"> Construction Phase - Stormwater Management Design Objectives</w:t>
            </w:r>
            <w:r>
              <w:rPr>
                <w:bCs/>
              </w:rPr>
              <w:t>.</w:t>
            </w:r>
          </w:p>
        </w:tc>
        <w:tc>
          <w:tcPr>
            <w:tcW w:w="5029" w:type="dxa"/>
          </w:tcPr>
          <w:p w14:paraId="2672CC5E" w14:textId="77777777" w:rsidR="00B076D1" w:rsidRPr="00F619AF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619AF">
              <w:rPr>
                <w:b/>
              </w:rPr>
              <w:t>AO13</w:t>
            </w:r>
          </w:p>
          <w:p w14:paraId="1CAC7A61" w14:textId="1D16EBD8" w:rsidR="00B076D1" w:rsidRPr="00E1513C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619AF">
              <w:t xml:space="preserve">Development achieves objectives as specified in </w:t>
            </w:r>
            <w:r w:rsidRPr="00F619AF">
              <w:rPr>
                <w:b/>
              </w:rPr>
              <w:t xml:space="preserve">Table 6.2.3.2 </w:t>
            </w:r>
            <w:r>
              <w:rPr>
                <w:b/>
              </w:rPr>
              <w:t>–</w:t>
            </w:r>
            <w:r w:rsidRPr="00F619AF">
              <w:rPr>
                <w:b/>
              </w:rPr>
              <w:t xml:space="preserve"> Construction Phase - Stormwater Management Design Objectives</w:t>
            </w:r>
            <w:r>
              <w:rPr>
                <w:bCs/>
              </w:rPr>
              <w:t>.</w:t>
            </w:r>
          </w:p>
        </w:tc>
        <w:tc>
          <w:tcPr>
            <w:tcW w:w="5670" w:type="dxa"/>
          </w:tcPr>
          <w:p w14:paraId="1FDF9A1B" w14:textId="77777777" w:rsidR="00B076D1" w:rsidRPr="007113DB" w:rsidRDefault="00B076D1" w:rsidP="00B076D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  <w:tr w:rsidR="00B076D1" w:rsidRPr="00BA6927" w14:paraId="76EEAEE9" w14:textId="77777777" w:rsidTr="00261828">
        <w:trPr>
          <w:trHeight w:val="20"/>
        </w:trPr>
        <w:tc>
          <w:tcPr>
            <w:tcW w:w="4620" w:type="dxa"/>
          </w:tcPr>
          <w:p w14:paraId="678A2A14" w14:textId="77777777" w:rsidR="00B076D1" w:rsidRPr="00F619AF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619AF">
              <w:rPr>
                <w:b/>
              </w:rPr>
              <w:t>PO14</w:t>
            </w:r>
          </w:p>
          <w:p w14:paraId="3A7D2BD0" w14:textId="77777777" w:rsidR="00B076D1" w:rsidRPr="00F619AF" w:rsidRDefault="00B076D1" w:rsidP="00B076D1">
            <w:pPr>
              <w:pStyle w:val="TableParagraph"/>
              <w:ind w:left="113" w:right="113"/>
            </w:pPr>
            <w:r w:rsidRPr="00F619AF">
              <w:t xml:space="preserve">Land for urban purposes </w:t>
            </w:r>
            <w:proofErr w:type="gramStart"/>
            <w:r w:rsidRPr="00F619AF">
              <w:t>is located in</w:t>
            </w:r>
            <w:proofErr w:type="gramEnd"/>
            <w:r w:rsidRPr="00F619AF">
              <w:t xml:space="preserve"> areas which avoid or minimise the disturbance to natural drainage, areas subject to erosion risk</w:t>
            </w:r>
          </w:p>
          <w:p w14:paraId="3FE96C41" w14:textId="6F06AFA3" w:rsidR="00B076D1" w:rsidRPr="00E1513C" w:rsidRDefault="00B076D1" w:rsidP="00B076D1">
            <w:pPr>
              <w:ind w:left="113" w:right="113"/>
              <w:rPr>
                <w:b/>
              </w:rPr>
            </w:pPr>
            <w:r w:rsidRPr="00F619AF">
              <w:t>and groundwater.</w:t>
            </w:r>
          </w:p>
        </w:tc>
        <w:tc>
          <w:tcPr>
            <w:tcW w:w="5029" w:type="dxa"/>
          </w:tcPr>
          <w:p w14:paraId="13629211" w14:textId="77777777" w:rsidR="00B076D1" w:rsidRPr="00F619AF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619AF">
              <w:rPr>
                <w:b/>
              </w:rPr>
              <w:t>AO14</w:t>
            </w:r>
          </w:p>
          <w:p w14:paraId="78EAC9EF" w14:textId="478A4C6C" w:rsidR="00B076D1" w:rsidRPr="00E1513C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619AF">
              <w:t>No acceptable outcome.</w:t>
            </w:r>
          </w:p>
        </w:tc>
        <w:tc>
          <w:tcPr>
            <w:tcW w:w="5670" w:type="dxa"/>
          </w:tcPr>
          <w:p w14:paraId="6251CB3C" w14:textId="77777777" w:rsidR="00B076D1" w:rsidRPr="007113DB" w:rsidRDefault="00B076D1" w:rsidP="00B076D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  <w:tr w:rsidR="00B076D1" w:rsidRPr="00BA6927" w14:paraId="35ABF661" w14:textId="77777777" w:rsidTr="00261828">
        <w:trPr>
          <w:trHeight w:val="20"/>
        </w:trPr>
        <w:tc>
          <w:tcPr>
            <w:tcW w:w="4620" w:type="dxa"/>
          </w:tcPr>
          <w:p w14:paraId="6E8D01B0" w14:textId="77777777" w:rsidR="00B076D1" w:rsidRPr="00F619AF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619AF">
              <w:rPr>
                <w:b/>
              </w:rPr>
              <w:t>PO15</w:t>
            </w:r>
          </w:p>
          <w:p w14:paraId="288D87D1" w14:textId="3286B858" w:rsidR="00B076D1" w:rsidRPr="00E1513C" w:rsidRDefault="00B076D1" w:rsidP="00B076D1">
            <w:pPr>
              <w:ind w:left="113" w:right="113"/>
              <w:rPr>
                <w:b/>
              </w:rPr>
            </w:pPr>
            <w:r w:rsidRPr="00F619AF">
              <w:t>Land for urban purpose is located, designed, constructed and managed to avoid impacts arising from altered stormwater quality or flow.</w:t>
            </w:r>
          </w:p>
        </w:tc>
        <w:tc>
          <w:tcPr>
            <w:tcW w:w="5029" w:type="dxa"/>
          </w:tcPr>
          <w:p w14:paraId="1FA2B88F" w14:textId="77777777" w:rsidR="00B076D1" w:rsidRPr="00F619AF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619AF">
              <w:rPr>
                <w:b/>
              </w:rPr>
              <w:t>AO15</w:t>
            </w:r>
          </w:p>
          <w:p w14:paraId="58A01CFD" w14:textId="408EF9F3" w:rsidR="00B076D1" w:rsidRPr="00E1513C" w:rsidRDefault="00B076D1" w:rsidP="00B076D1">
            <w:pPr>
              <w:pStyle w:val="TableParagraph"/>
              <w:ind w:left="113" w:right="113"/>
              <w:rPr>
                <w:b/>
              </w:rPr>
            </w:pPr>
            <w:r w:rsidRPr="00F619AF">
              <w:t>No acceptable outcome.</w:t>
            </w:r>
          </w:p>
        </w:tc>
        <w:tc>
          <w:tcPr>
            <w:tcW w:w="5670" w:type="dxa"/>
          </w:tcPr>
          <w:p w14:paraId="1184FB5E" w14:textId="77777777" w:rsidR="00B076D1" w:rsidRPr="007113DB" w:rsidRDefault="00B076D1" w:rsidP="00B076D1">
            <w:pPr>
              <w:ind w:left="113" w:right="113"/>
              <w:rPr>
                <w:rFonts w:eastAsia="Calibri" w:cs="Arial"/>
                <w:b/>
                <w:szCs w:val="20"/>
                <w:highlight w:val="yellow"/>
                <w:lang w:val="en-US"/>
              </w:rPr>
            </w:pPr>
          </w:p>
        </w:tc>
      </w:tr>
    </w:tbl>
    <w:p w14:paraId="6CCFF25E" w14:textId="77777777" w:rsidR="007D2AD8" w:rsidRDefault="007D2AD8" w:rsidP="00BA6927">
      <w:pPr>
        <w:rPr>
          <w:rFonts w:eastAsia="Calibri" w:cs="Arial"/>
          <w:b/>
          <w:szCs w:val="20"/>
          <w:lang w:val="en-US"/>
        </w:rPr>
      </w:pPr>
    </w:p>
    <w:p w14:paraId="78391BA6" w14:textId="77777777" w:rsidR="007D2AD8" w:rsidRDefault="007D2AD8" w:rsidP="00BA6927">
      <w:pPr>
        <w:rPr>
          <w:rFonts w:eastAsia="Calibri" w:cs="Arial"/>
          <w:b/>
          <w:szCs w:val="20"/>
          <w:lang w:val="en-US"/>
        </w:rPr>
      </w:pPr>
    </w:p>
    <w:p w14:paraId="5CD302B4" w14:textId="0091E634" w:rsidR="00BA6927" w:rsidRPr="00BA6927" w:rsidRDefault="00BA6927" w:rsidP="00BA6927">
      <w:pPr>
        <w:rPr>
          <w:rFonts w:eastAsia="Calibri" w:cs="Arial"/>
          <w:b/>
          <w:szCs w:val="20"/>
          <w:lang w:val="en-US"/>
        </w:rPr>
      </w:pPr>
      <w:r w:rsidRPr="00BA6927">
        <w:rPr>
          <w:rFonts w:eastAsia="Calibri" w:cs="Arial"/>
          <w:b/>
          <w:szCs w:val="20"/>
          <w:lang w:val="en-US"/>
        </w:rPr>
        <w:br w:type="page"/>
      </w:r>
    </w:p>
    <w:p w14:paraId="261B94F3" w14:textId="77777777" w:rsidR="00BA6927" w:rsidRPr="00BA6927" w:rsidRDefault="00BA6927" w:rsidP="00BA6927">
      <w:pPr>
        <w:rPr>
          <w:rFonts w:eastAsia="Calibri" w:cs="Arial"/>
          <w:b/>
          <w:szCs w:val="20"/>
          <w:lang w:val="en-US"/>
        </w:rPr>
      </w:pPr>
      <w:r w:rsidRPr="00BA6927">
        <w:rPr>
          <w:rFonts w:eastAsia="Calibri" w:cs="Arial"/>
          <w:b/>
          <w:szCs w:val="20"/>
          <w:lang w:val="en-US"/>
        </w:rPr>
        <w:lastRenderedPageBreak/>
        <w:t>Table 6.2.2.2—Construction Phase - Stormwater Management Design Objectives</w:t>
      </w:r>
    </w:p>
    <w:tbl>
      <w:tblPr>
        <w:tblpPr w:leftFromText="180" w:rightFromText="180" w:vertAnchor="text" w:tblpX="-5" w:tblpY="1"/>
        <w:tblOverlap w:val="never"/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8358"/>
      </w:tblGrid>
      <w:tr w:rsidR="00BA6927" w:rsidRPr="00BA6927" w14:paraId="1A625AA4" w14:textId="77777777" w:rsidTr="00F760FE">
        <w:trPr>
          <w:trHeight w:val="20"/>
        </w:trPr>
        <w:tc>
          <w:tcPr>
            <w:tcW w:w="4678" w:type="dxa"/>
            <w:gridSpan w:val="2"/>
          </w:tcPr>
          <w:p w14:paraId="0B2DF4CA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szCs w:val="20"/>
                <w:lang w:val="en-US"/>
              </w:rPr>
              <w:t>Issue</w:t>
            </w:r>
          </w:p>
        </w:tc>
        <w:tc>
          <w:tcPr>
            <w:tcW w:w="8358" w:type="dxa"/>
          </w:tcPr>
          <w:p w14:paraId="7D1499EF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szCs w:val="20"/>
                <w:lang w:val="en-US"/>
              </w:rPr>
              <w:t>Design Objectives</w:t>
            </w:r>
          </w:p>
        </w:tc>
      </w:tr>
      <w:tr w:rsidR="00BA6927" w:rsidRPr="00BA6927" w14:paraId="098D0E9D" w14:textId="77777777" w:rsidTr="00F760FE">
        <w:trPr>
          <w:trHeight w:val="20"/>
        </w:trPr>
        <w:tc>
          <w:tcPr>
            <w:tcW w:w="2268" w:type="dxa"/>
          </w:tcPr>
          <w:p w14:paraId="4A3BFFF2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szCs w:val="20"/>
                <w:lang w:val="en-US"/>
              </w:rPr>
              <w:t>Drainage control</w:t>
            </w:r>
          </w:p>
        </w:tc>
        <w:tc>
          <w:tcPr>
            <w:tcW w:w="2410" w:type="dxa"/>
          </w:tcPr>
          <w:p w14:paraId="7AD6D3DB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Temporary drainage works</w:t>
            </w:r>
          </w:p>
        </w:tc>
        <w:tc>
          <w:tcPr>
            <w:tcW w:w="8358" w:type="dxa"/>
          </w:tcPr>
          <w:p w14:paraId="1E8A7CCF" w14:textId="77777777" w:rsidR="00BA6927" w:rsidRPr="00BA6927" w:rsidRDefault="00BA6927" w:rsidP="007D2AD8">
            <w:pPr>
              <w:numPr>
                <w:ilvl w:val="0"/>
                <w:numId w:val="16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Design life and design storm for temporary drainage works:</w:t>
            </w:r>
          </w:p>
          <w:p w14:paraId="41E2DB9A" w14:textId="77777777" w:rsidR="00BA6927" w:rsidRPr="00BA6927" w:rsidRDefault="00BA6927" w:rsidP="007D2AD8">
            <w:pPr>
              <w:numPr>
                <w:ilvl w:val="0"/>
                <w:numId w:val="17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Disturbed area open for &lt;12 months - 1 in 2-year ARI event.</w:t>
            </w:r>
          </w:p>
          <w:p w14:paraId="370F8AF2" w14:textId="77777777" w:rsidR="00BA6927" w:rsidRPr="00BA6927" w:rsidRDefault="00BA6927" w:rsidP="007D2AD8">
            <w:pPr>
              <w:numPr>
                <w:ilvl w:val="0"/>
                <w:numId w:val="17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Disturbed area open for 12-24 months - 1 in 5-year ARI event.</w:t>
            </w:r>
          </w:p>
          <w:p w14:paraId="6A52443F" w14:textId="77777777" w:rsidR="00BA6927" w:rsidRPr="00BA6927" w:rsidRDefault="00BA6927" w:rsidP="007D2AD8">
            <w:pPr>
              <w:numPr>
                <w:ilvl w:val="0"/>
                <w:numId w:val="17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Disturbed are open for &gt;24 months - 1 in 10-year ARI event.</w:t>
            </w:r>
          </w:p>
          <w:p w14:paraId="71111906" w14:textId="77777777" w:rsidR="00BA6927" w:rsidRPr="00BA6927" w:rsidRDefault="00BA6927" w:rsidP="007D2AD8">
            <w:pPr>
              <w:numPr>
                <w:ilvl w:val="0"/>
                <w:numId w:val="16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 xml:space="preserve">Design capacity excludes </w:t>
            </w:r>
            <w:proofErr w:type="gramStart"/>
            <w:r w:rsidRPr="00BA6927">
              <w:rPr>
                <w:rFonts w:eastAsia="Calibri" w:cs="Arial"/>
                <w:szCs w:val="20"/>
                <w:lang w:val="en-US"/>
              </w:rPr>
              <w:t>minimum</w:t>
            </w:r>
            <w:proofErr w:type="gramEnd"/>
            <w:r w:rsidRPr="00BA6927">
              <w:rPr>
                <w:rFonts w:eastAsia="Calibri" w:cs="Arial"/>
                <w:szCs w:val="20"/>
                <w:lang w:val="en-US"/>
              </w:rPr>
              <w:t xml:space="preserve"> 150mm freeboard.</w:t>
            </w:r>
          </w:p>
          <w:p w14:paraId="37F9E9D9" w14:textId="77777777" w:rsidR="00BA6927" w:rsidRPr="00BA6927" w:rsidRDefault="00BA6927" w:rsidP="007D2AD8">
            <w:pPr>
              <w:numPr>
                <w:ilvl w:val="0"/>
                <w:numId w:val="16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Temporary culvert crossing - minimum 1 in 1-year SRI hydraulic capacity.</w:t>
            </w:r>
          </w:p>
        </w:tc>
      </w:tr>
      <w:tr w:rsidR="00BA6927" w:rsidRPr="00BA6927" w14:paraId="5E2CCDB1" w14:textId="77777777" w:rsidTr="00F760FE">
        <w:trPr>
          <w:trHeight w:val="20"/>
        </w:trPr>
        <w:tc>
          <w:tcPr>
            <w:tcW w:w="2268" w:type="dxa"/>
          </w:tcPr>
          <w:p w14:paraId="03765C47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szCs w:val="20"/>
                <w:lang w:val="en-US"/>
              </w:rPr>
              <w:t>Erosion control</w:t>
            </w:r>
          </w:p>
        </w:tc>
        <w:tc>
          <w:tcPr>
            <w:tcW w:w="2410" w:type="dxa"/>
          </w:tcPr>
          <w:p w14:paraId="6EBECEF4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Erosion control measures</w:t>
            </w:r>
          </w:p>
        </w:tc>
        <w:tc>
          <w:tcPr>
            <w:tcW w:w="8358" w:type="dxa"/>
          </w:tcPr>
          <w:p w14:paraId="29166B91" w14:textId="77777777" w:rsidR="00BA6927" w:rsidRPr="00BA6927" w:rsidRDefault="00BA6927" w:rsidP="007D2AD8">
            <w:pPr>
              <w:numPr>
                <w:ilvl w:val="0"/>
                <w:numId w:val="18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Minimise exposure of disturbed soils at any time.</w:t>
            </w:r>
          </w:p>
          <w:p w14:paraId="5C295624" w14:textId="77777777" w:rsidR="00BA6927" w:rsidRPr="00BA6927" w:rsidRDefault="00BA6927" w:rsidP="007D2AD8">
            <w:pPr>
              <w:numPr>
                <w:ilvl w:val="0"/>
                <w:numId w:val="18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 xml:space="preserve">Divert water </w:t>
            </w:r>
            <w:proofErr w:type="gramStart"/>
            <w:r w:rsidRPr="00BA6927">
              <w:rPr>
                <w:rFonts w:eastAsia="Calibri" w:cs="Arial"/>
                <w:szCs w:val="20"/>
                <w:lang w:val="en-US"/>
              </w:rPr>
              <w:t>run-off</w:t>
            </w:r>
            <w:proofErr w:type="gramEnd"/>
            <w:r w:rsidRPr="00BA6927">
              <w:rPr>
                <w:rFonts w:eastAsia="Calibri" w:cs="Arial"/>
                <w:szCs w:val="20"/>
                <w:lang w:val="en-US"/>
              </w:rPr>
              <w:t xml:space="preserve"> from undisturbed areas around disturbed areas.</w:t>
            </w:r>
          </w:p>
          <w:p w14:paraId="38DA9352" w14:textId="77777777" w:rsidR="00BA6927" w:rsidRPr="00BA6927" w:rsidRDefault="00BA6927" w:rsidP="007D2AD8">
            <w:pPr>
              <w:numPr>
                <w:ilvl w:val="0"/>
                <w:numId w:val="18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Determine the erosion risk rating using local rainfall erosivity, rainfall depth, soil-loss rate or other acceptable methods.</w:t>
            </w:r>
          </w:p>
          <w:p w14:paraId="34528E60" w14:textId="77777777" w:rsidR="00BA6927" w:rsidRPr="00BA6927" w:rsidRDefault="00BA6927" w:rsidP="007D2AD8">
            <w:pPr>
              <w:numPr>
                <w:ilvl w:val="0"/>
                <w:numId w:val="18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Implement erosion control methods corresponding to identified erosion risk rating.</w:t>
            </w:r>
          </w:p>
        </w:tc>
      </w:tr>
      <w:tr w:rsidR="00BA6927" w:rsidRPr="00BA6927" w14:paraId="22A3D633" w14:textId="77777777" w:rsidTr="00F760FE">
        <w:trPr>
          <w:trHeight w:val="20"/>
        </w:trPr>
        <w:tc>
          <w:tcPr>
            <w:tcW w:w="2268" w:type="dxa"/>
          </w:tcPr>
          <w:p w14:paraId="77DBF0D0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szCs w:val="20"/>
                <w:lang w:val="en-US"/>
              </w:rPr>
              <w:t>Sediment control</w:t>
            </w:r>
          </w:p>
        </w:tc>
        <w:tc>
          <w:tcPr>
            <w:tcW w:w="2410" w:type="dxa"/>
          </w:tcPr>
          <w:p w14:paraId="4BB262E2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Sediment control measures</w:t>
            </w:r>
          </w:p>
          <w:p w14:paraId="158853BE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2A01591F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Design storm for sediment control basins</w:t>
            </w:r>
          </w:p>
          <w:p w14:paraId="10C4BD7A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b/>
                <w:sz w:val="19"/>
                <w:szCs w:val="20"/>
                <w:lang w:val="en-US"/>
              </w:rPr>
            </w:pPr>
          </w:p>
          <w:p w14:paraId="66A5A22C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Sediment basin dewatering</w:t>
            </w:r>
          </w:p>
        </w:tc>
        <w:tc>
          <w:tcPr>
            <w:tcW w:w="8358" w:type="dxa"/>
          </w:tcPr>
          <w:p w14:paraId="7B4B5C4E" w14:textId="77777777" w:rsidR="00BA6927" w:rsidRPr="00BA6927" w:rsidRDefault="00BA6927" w:rsidP="007D2AD8">
            <w:pPr>
              <w:numPr>
                <w:ilvl w:val="0"/>
                <w:numId w:val="19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Determine appropriate sediment control measures using:</w:t>
            </w:r>
          </w:p>
          <w:p w14:paraId="152112E0" w14:textId="77777777" w:rsidR="00BA6927" w:rsidRPr="00BA6927" w:rsidRDefault="00BA6927" w:rsidP="007D2AD8">
            <w:pPr>
              <w:numPr>
                <w:ilvl w:val="0"/>
                <w:numId w:val="20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potential soil loss rate, or</w:t>
            </w:r>
          </w:p>
          <w:p w14:paraId="30DDDCA4" w14:textId="77777777" w:rsidR="00BA6927" w:rsidRPr="00BA6927" w:rsidRDefault="00BA6927" w:rsidP="007D2AD8">
            <w:pPr>
              <w:numPr>
                <w:ilvl w:val="0"/>
                <w:numId w:val="20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monthly erosivity, or</w:t>
            </w:r>
          </w:p>
          <w:p w14:paraId="4A663B12" w14:textId="77777777" w:rsidR="00BA6927" w:rsidRPr="00BA6927" w:rsidRDefault="00BA6927" w:rsidP="007D2AD8">
            <w:pPr>
              <w:numPr>
                <w:ilvl w:val="0"/>
                <w:numId w:val="20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average monthly rainfall</w:t>
            </w:r>
          </w:p>
          <w:p w14:paraId="4EF503EB" w14:textId="77777777" w:rsidR="00BA6927" w:rsidRPr="00BA6927" w:rsidRDefault="00BA6927" w:rsidP="007D2AD8">
            <w:pPr>
              <w:numPr>
                <w:ilvl w:val="0"/>
                <w:numId w:val="19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 xml:space="preserve">Collect and drain stormwater from disturbed soils to sediment basin for design storm </w:t>
            </w:r>
            <w:proofErr w:type="gramStart"/>
            <w:r w:rsidRPr="00BA6927">
              <w:rPr>
                <w:rFonts w:eastAsia="Calibri" w:cs="Arial"/>
                <w:szCs w:val="20"/>
                <w:lang w:val="en-US"/>
              </w:rPr>
              <w:t>event</w:t>
            </w:r>
            <w:proofErr w:type="gramEnd"/>
            <w:r w:rsidRPr="00BA6927">
              <w:rPr>
                <w:rFonts w:eastAsia="Calibri" w:cs="Arial"/>
                <w:szCs w:val="20"/>
                <w:lang w:val="en-US"/>
              </w:rPr>
              <w:t>:</w:t>
            </w:r>
          </w:p>
          <w:p w14:paraId="28A43B2B" w14:textId="77777777" w:rsidR="00BA6927" w:rsidRPr="00BA6927" w:rsidRDefault="00BA6927" w:rsidP="007D2AD8">
            <w:pPr>
              <w:numPr>
                <w:ilvl w:val="0"/>
                <w:numId w:val="21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design storm for sediment basin sizing is 80th% five-day event or similar</w:t>
            </w:r>
          </w:p>
          <w:p w14:paraId="3F7EB092" w14:textId="77777777" w:rsidR="00BA6927" w:rsidRPr="00BA6927" w:rsidRDefault="00BA6927" w:rsidP="007D2AD8">
            <w:pPr>
              <w:numPr>
                <w:ilvl w:val="0"/>
                <w:numId w:val="19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Site discharge during sediment basin dewatering:</w:t>
            </w:r>
          </w:p>
          <w:p w14:paraId="7A48A39B" w14:textId="77777777" w:rsidR="00BA6927" w:rsidRPr="00BA6927" w:rsidRDefault="00BA6927" w:rsidP="007D2AD8">
            <w:pPr>
              <w:numPr>
                <w:ilvl w:val="0"/>
                <w:numId w:val="22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TSS &lt; 50 mg/L TSS, and</w:t>
            </w:r>
          </w:p>
          <w:p w14:paraId="4FB977F4" w14:textId="77777777" w:rsidR="00BA6927" w:rsidRPr="00BA6927" w:rsidRDefault="00BA6927" w:rsidP="007D2AD8">
            <w:pPr>
              <w:numPr>
                <w:ilvl w:val="0"/>
                <w:numId w:val="22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Turbidity not &gt;10% receiving waters turbidity, and</w:t>
            </w:r>
          </w:p>
          <w:p w14:paraId="193BB538" w14:textId="77777777" w:rsidR="00BA6927" w:rsidRPr="00BA6927" w:rsidRDefault="00BA6927" w:rsidP="007D2AD8">
            <w:pPr>
              <w:numPr>
                <w:ilvl w:val="0"/>
                <w:numId w:val="22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pH 6.5–8.5</w:t>
            </w:r>
          </w:p>
        </w:tc>
      </w:tr>
      <w:tr w:rsidR="00BA6927" w:rsidRPr="00BA6927" w14:paraId="15B28BC9" w14:textId="77777777" w:rsidTr="00F760FE">
        <w:trPr>
          <w:trHeight w:val="20"/>
        </w:trPr>
        <w:tc>
          <w:tcPr>
            <w:tcW w:w="2268" w:type="dxa"/>
          </w:tcPr>
          <w:p w14:paraId="025D267E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szCs w:val="20"/>
                <w:lang w:val="en-US"/>
              </w:rPr>
              <w:t>Water quality</w:t>
            </w:r>
          </w:p>
        </w:tc>
        <w:tc>
          <w:tcPr>
            <w:tcW w:w="2410" w:type="dxa"/>
          </w:tcPr>
          <w:p w14:paraId="4A9A5995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Litter and other waste, hydrocarbons and other contaminants</w:t>
            </w:r>
          </w:p>
        </w:tc>
        <w:tc>
          <w:tcPr>
            <w:tcW w:w="8358" w:type="dxa"/>
          </w:tcPr>
          <w:p w14:paraId="1E6B909C" w14:textId="77777777" w:rsidR="00BA6927" w:rsidRPr="00BA6927" w:rsidRDefault="00BA6927" w:rsidP="007D2AD8">
            <w:pPr>
              <w:numPr>
                <w:ilvl w:val="0"/>
                <w:numId w:val="23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color w:val="201C1D"/>
                <w:szCs w:val="20"/>
                <w:lang w:val="en-US"/>
              </w:rPr>
              <w:t>Avoid wind-blown litter; remove gross pollutants.</w:t>
            </w:r>
          </w:p>
          <w:p w14:paraId="1F97753C" w14:textId="77777777" w:rsidR="00BA6927" w:rsidRPr="00BA6927" w:rsidRDefault="00BA6927" w:rsidP="007D2AD8">
            <w:pPr>
              <w:numPr>
                <w:ilvl w:val="0"/>
                <w:numId w:val="23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color w:val="201C1D"/>
                <w:szCs w:val="20"/>
                <w:lang w:val="en-US"/>
              </w:rPr>
              <w:t>Ensure there is no visible oil or grease sheen on released waters.</w:t>
            </w:r>
          </w:p>
          <w:p w14:paraId="107939FE" w14:textId="77777777" w:rsidR="00BA6927" w:rsidRPr="00BA6927" w:rsidRDefault="00BA6927" w:rsidP="007D2AD8">
            <w:pPr>
              <w:numPr>
                <w:ilvl w:val="0"/>
                <w:numId w:val="23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color w:val="201C1D"/>
                <w:szCs w:val="20"/>
                <w:lang w:val="en-US"/>
              </w:rPr>
              <w:t>Dispose</w:t>
            </w:r>
            <w:r w:rsidRPr="00BA6927">
              <w:rPr>
                <w:rFonts w:eastAsia="Calibri" w:cs="Arial"/>
                <w:color w:val="201C1D"/>
                <w:szCs w:val="20"/>
                <w:lang w:val="en-US"/>
              </w:rPr>
              <w:tab/>
              <w:t>of</w:t>
            </w:r>
            <w:r w:rsidRPr="00BA6927">
              <w:rPr>
                <w:rFonts w:eastAsia="Calibri" w:cs="Arial"/>
                <w:color w:val="201C1D"/>
                <w:szCs w:val="20"/>
                <w:lang w:val="en-US"/>
              </w:rPr>
              <w:tab/>
              <w:t>waste</w:t>
            </w:r>
            <w:r w:rsidRPr="00BA6927">
              <w:rPr>
                <w:rFonts w:eastAsia="Calibri" w:cs="Arial"/>
                <w:color w:val="201C1D"/>
                <w:szCs w:val="20"/>
                <w:lang w:val="en-US"/>
              </w:rPr>
              <w:tab/>
              <w:t xml:space="preserve">containing contaminants at </w:t>
            </w:r>
            <w:proofErr w:type="spellStart"/>
            <w:r w:rsidRPr="00BA6927">
              <w:rPr>
                <w:rFonts w:eastAsia="Calibri" w:cs="Arial"/>
                <w:color w:val="201C1D"/>
                <w:szCs w:val="20"/>
                <w:lang w:val="en-US"/>
              </w:rPr>
              <w:t>authorised</w:t>
            </w:r>
            <w:proofErr w:type="spellEnd"/>
            <w:r w:rsidRPr="00BA6927">
              <w:rPr>
                <w:rFonts w:eastAsia="Calibri" w:cs="Arial"/>
                <w:color w:val="201C1D"/>
                <w:szCs w:val="20"/>
                <w:lang w:val="en-US"/>
              </w:rPr>
              <w:t xml:space="preserve"> facilities.</w:t>
            </w:r>
          </w:p>
        </w:tc>
      </w:tr>
      <w:tr w:rsidR="00BA6927" w:rsidRPr="00BA6927" w14:paraId="3136B30B" w14:textId="77777777" w:rsidTr="00F760FE">
        <w:trPr>
          <w:trHeight w:val="20"/>
        </w:trPr>
        <w:tc>
          <w:tcPr>
            <w:tcW w:w="2268" w:type="dxa"/>
          </w:tcPr>
          <w:p w14:paraId="7DA94E92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szCs w:val="20"/>
                <w:lang w:val="en-US"/>
              </w:rPr>
              <w:t>Waterway stability and flood flow management</w:t>
            </w:r>
          </w:p>
        </w:tc>
        <w:tc>
          <w:tcPr>
            <w:tcW w:w="2410" w:type="dxa"/>
          </w:tcPr>
          <w:p w14:paraId="63382BDA" w14:textId="77777777" w:rsidR="00BA6927" w:rsidRPr="00BA6927" w:rsidRDefault="00BA6927" w:rsidP="007D2AD8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szCs w:val="20"/>
                <w:lang w:val="en-US"/>
              </w:rPr>
              <w:t>Changes to the natural waterway hydraulics and hydrology</w:t>
            </w:r>
          </w:p>
        </w:tc>
        <w:tc>
          <w:tcPr>
            <w:tcW w:w="8358" w:type="dxa"/>
          </w:tcPr>
          <w:p w14:paraId="7CF72AED" w14:textId="77777777" w:rsidR="00BA6927" w:rsidRPr="00BA6927" w:rsidRDefault="00BA6927" w:rsidP="007D2AD8">
            <w:pPr>
              <w:numPr>
                <w:ilvl w:val="0"/>
                <w:numId w:val="24"/>
              </w:numPr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BA6927">
              <w:rPr>
                <w:rFonts w:eastAsia="Calibri" w:cs="Arial"/>
                <w:color w:val="201C1D"/>
                <w:szCs w:val="20"/>
                <w:lang w:val="en-US"/>
              </w:rPr>
              <w:t>For peak flow for the 1-year and 100- year ARI event, use constructed sediment basins to attenuate the discharge rate of stormwater from the site.</w:t>
            </w:r>
          </w:p>
        </w:tc>
      </w:tr>
    </w:tbl>
    <w:p w14:paraId="50ACBCFB" w14:textId="77777777" w:rsidR="002B2F7E" w:rsidRPr="00827039" w:rsidRDefault="002B2F7E" w:rsidP="00827039"/>
    <w:sectPr w:rsidR="002B2F7E" w:rsidRPr="00827039" w:rsidSect="00BA6927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B74C" w14:textId="77777777" w:rsidR="00D375ED" w:rsidRDefault="00D375ED" w:rsidP="00BA6927">
      <w:r>
        <w:separator/>
      </w:r>
    </w:p>
  </w:endnote>
  <w:endnote w:type="continuationSeparator" w:id="0">
    <w:p w14:paraId="3CBACB87" w14:textId="77777777" w:rsidR="00D375ED" w:rsidRDefault="00D375ED" w:rsidP="00B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6E3" w14:textId="45BE0BAE" w:rsidR="00BA6927" w:rsidRDefault="00BA6927">
    <w:pPr>
      <w:pStyle w:val="Footer"/>
      <w:rPr>
        <w:rStyle w:val="normaltextrun"/>
        <w:rFonts w:cs="Arial"/>
        <w:color w:val="000000"/>
        <w:szCs w:val="20"/>
        <w:shd w:val="clear" w:color="auto" w:fill="FFFFFF"/>
      </w:rPr>
    </w:pPr>
    <w:r>
      <w:rPr>
        <w:rStyle w:val="normaltextrun"/>
        <w:rFonts w:cs="Arial"/>
        <w:color w:val="000000"/>
        <w:szCs w:val="20"/>
        <w:shd w:val="clear" w:color="auto" w:fill="FFFFFF"/>
      </w:rPr>
      <w:t>Western Downs Planning Scheme 2017 incorporating Amendment 2</w:t>
    </w:r>
  </w:p>
  <w:p w14:paraId="30CFB4A0" w14:textId="2B51222A" w:rsidR="00BA6927" w:rsidRDefault="00BA6927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298646C" wp14:editId="2C40DB9E">
          <wp:extent cx="9779000" cy="28911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0" cy="28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3249" w14:textId="77777777" w:rsidR="00D375ED" w:rsidRDefault="00D375ED" w:rsidP="00BA6927">
      <w:r>
        <w:separator/>
      </w:r>
    </w:p>
  </w:footnote>
  <w:footnote w:type="continuationSeparator" w:id="0">
    <w:p w14:paraId="7AD659FD" w14:textId="77777777" w:rsidR="00D375ED" w:rsidRDefault="00D375ED" w:rsidP="00BA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C89C" w14:textId="53764897" w:rsidR="00BA6927" w:rsidRDefault="00BA6927">
    <w:pPr>
      <w:pStyle w:val="Header"/>
    </w:pPr>
    <w:r>
      <w:rPr>
        <w:noProof/>
      </w:rPr>
      <w:drawing>
        <wp:inline distT="0" distB="0" distL="0" distR="0" wp14:anchorId="0283F423" wp14:editId="1B399704">
          <wp:extent cx="723265" cy="954405"/>
          <wp:effectExtent l="0" t="0" r="635" b="0"/>
          <wp:docPr id="108072222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597" w:rsidRPr="007D2AD8">
      <w:rPr>
        <w:b/>
        <w:bCs/>
        <w:i/>
        <w:iCs/>
      </w:rPr>
      <w:t xml:space="preserve">Table 6.2.3.1 </w:t>
    </w:r>
    <w:r w:rsidR="006E1597" w:rsidRPr="007D2AD8">
      <w:rPr>
        <w:b/>
        <w:bCs/>
        <w:i/>
        <w:iCs/>
      </w:rPr>
      <w:tab/>
      <w:t xml:space="preserve">Local Centre Zone </w:t>
    </w:r>
    <w:r w:rsidRPr="007D2AD8">
      <w:rPr>
        <w:b/>
        <w:bCs/>
        <w:i/>
        <w:iCs/>
      </w:rPr>
      <w:t>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604"/>
    <w:multiLevelType w:val="hybridMultilevel"/>
    <w:tmpl w:val="ACBC5C3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028A26BA"/>
    <w:multiLevelType w:val="hybridMultilevel"/>
    <w:tmpl w:val="C2027E0C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98313DD"/>
    <w:multiLevelType w:val="hybridMultilevel"/>
    <w:tmpl w:val="6D4A1CE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E6699"/>
    <w:multiLevelType w:val="hybridMultilevel"/>
    <w:tmpl w:val="50D8EC62"/>
    <w:lvl w:ilvl="0" w:tplc="1164B10A">
      <w:start w:val="1"/>
      <w:numFmt w:val="upperLetter"/>
      <w:lvlText w:val="(%1)"/>
      <w:lvlJc w:val="left"/>
      <w:pPr>
        <w:ind w:left="185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1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7B12828"/>
    <w:multiLevelType w:val="hybridMultilevel"/>
    <w:tmpl w:val="8BE6A2CE"/>
    <w:lvl w:ilvl="0" w:tplc="918088C8">
      <w:start w:val="1"/>
      <w:numFmt w:val="lowerLetter"/>
      <w:lvlText w:val="(%1)"/>
      <w:lvlJc w:val="left"/>
      <w:pPr>
        <w:ind w:left="4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35" w:hanging="360"/>
      </w:pPr>
    </w:lvl>
    <w:lvl w:ilvl="2" w:tplc="0C09001B" w:tentative="1">
      <w:start w:val="1"/>
      <w:numFmt w:val="lowerRoman"/>
      <w:lvlText w:val="%3."/>
      <w:lvlJc w:val="right"/>
      <w:pPr>
        <w:ind w:left="1855" w:hanging="180"/>
      </w:pPr>
    </w:lvl>
    <w:lvl w:ilvl="3" w:tplc="0C09000F" w:tentative="1">
      <w:start w:val="1"/>
      <w:numFmt w:val="decimal"/>
      <w:lvlText w:val="%4."/>
      <w:lvlJc w:val="left"/>
      <w:pPr>
        <w:ind w:left="2575" w:hanging="360"/>
      </w:pPr>
    </w:lvl>
    <w:lvl w:ilvl="4" w:tplc="0C090019" w:tentative="1">
      <w:start w:val="1"/>
      <w:numFmt w:val="lowerLetter"/>
      <w:lvlText w:val="%5."/>
      <w:lvlJc w:val="left"/>
      <w:pPr>
        <w:ind w:left="3295" w:hanging="360"/>
      </w:pPr>
    </w:lvl>
    <w:lvl w:ilvl="5" w:tplc="0C09001B" w:tentative="1">
      <w:start w:val="1"/>
      <w:numFmt w:val="lowerRoman"/>
      <w:lvlText w:val="%6."/>
      <w:lvlJc w:val="right"/>
      <w:pPr>
        <w:ind w:left="4015" w:hanging="180"/>
      </w:pPr>
    </w:lvl>
    <w:lvl w:ilvl="6" w:tplc="0C09000F" w:tentative="1">
      <w:start w:val="1"/>
      <w:numFmt w:val="decimal"/>
      <w:lvlText w:val="%7."/>
      <w:lvlJc w:val="left"/>
      <w:pPr>
        <w:ind w:left="4735" w:hanging="360"/>
      </w:pPr>
    </w:lvl>
    <w:lvl w:ilvl="7" w:tplc="0C090019" w:tentative="1">
      <w:start w:val="1"/>
      <w:numFmt w:val="lowerLetter"/>
      <w:lvlText w:val="%8."/>
      <w:lvlJc w:val="left"/>
      <w:pPr>
        <w:ind w:left="5455" w:hanging="360"/>
      </w:pPr>
    </w:lvl>
    <w:lvl w:ilvl="8" w:tplc="0C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 w15:restartNumberingAfterBreak="0">
    <w:nsid w:val="17EB3ECF"/>
    <w:multiLevelType w:val="hybridMultilevel"/>
    <w:tmpl w:val="AC9EC2E0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9D368C0"/>
    <w:multiLevelType w:val="hybridMultilevel"/>
    <w:tmpl w:val="CAC219D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F3065"/>
    <w:multiLevelType w:val="hybridMultilevel"/>
    <w:tmpl w:val="7C80C9F6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1DEC2188"/>
    <w:multiLevelType w:val="hybridMultilevel"/>
    <w:tmpl w:val="3662C18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6678A"/>
    <w:multiLevelType w:val="hybridMultilevel"/>
    <w:tmpl w:val="EFAAEF9E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62531"/>
    <w:multiLevelType w:val="hybridMultilevel"/>
    <w:tmpl w:val="E9CCB754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246A30B2"/>
    <w:multiLevelType w:val="hybridMultilevel"/>
    <w:tmpl w:val="C79E78F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53769B4"/>
    <w:multiLevelType w:val="hybridMultilevel"/>
    <w:tmpl w:val="C6A88E8C"/>
    <w:lvl w:ilvl="0" w:tplc="6060C86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0" w:themeColor="text1"/>
        <w:w w:val="99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3341A"/>
    <w:multiLevelType w:val="hybridMultilevel"/>
    <w:tmpl w:val="0428ADD0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B65E4"/>
    <w:multiLevelType w:val="hybridMultilevel"/>
    <w:tmpl w:val="6AF0F3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F057D"/>
    <w:multiLevelType w:val="hybridMultilevel"/>
    <w:tmpl w:val="77C08FBC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30B25702"/>
    <w:multiLevelType w:val="hybridMultilevel"/>
    <w:tmpl w:val="475015F4"/>
    <w:lvl w:ilvl="0" w:tplc="918088C8">
      <w:start w:val="1"/>
      <w:numFmt w:val="lowerLetter"/>
      <w:lvlText w:val="(%1)"/>
      <w:lvlJc w:val="left"/>
      <w:pPr>
        <w:ind w:left="4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32B179E2"/>
    <w:multiLevelType w:val="hybridMultilevel"/>
    <w:tmpl w:val="703418E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8" w15:restartNumberingAfterBreak="0">
    <w:nsid w:val="342D6D95"/>
    <w:multiLevelType w:val="hybridMultilevel"/>
    <w:tmpl w:val="5338E47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9" w15:restartNumberingAfterBreak="0">
    <w:nsid w:val="358D2921"/>
    <w:multiLevelType w:val="hybridMultilevel"/>
    <w:tmpl w:val="A9D4CD4A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36F87BB1"/>
    <w:multiLevelType w:val="hybridMultilevel"/>
    <w:tmpl w:val="F5324984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1" w15:restartNumberingAfterBreak="0">
    <w:nsid w:val="37B4203A"/>
    <w:multiLevelType w:val="hybridMultilevel"/>
    <w:tmpl w:val="130E4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F1308"/>
    <w:multiLevelType w:val="hybridMultilevel"/>
    <w:tmpl w:val="9CEA439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3" w15:restartNumberingAfterBreak="0">
    <w:nsid w:val="41355A62"/>
    <w:multiLevelType w:val="hybridMultilevel"/>
    <w:tmpl w:val="681A073E"/>
    <w:lvl w:ilvl="0" w:tplc="7960D8E6">
      <w:start w:val="1"/>
      <w:numFmt w:val="lowerRoman"/>
      <w:lvlText w:val="(%1)"/>
      <w:lvlJc w:val="left"/>
      <w:pPr>
        <w:ind w:left="11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913" w:hanging="360"/>
      </w:pPr>
    </w:lvl>
    <w:lvl w:ilvl="2" w:tplc="0C09001B" w:tentative="1">
      <w:start w:val="1"/>
      <w:numFmt w:val="lowerRoman"/>
      <w:lvlText w:val="%3."/>
      <w:lvlJc w:val="right"/>
      <w:pPr>
        <w:ind w:left="2633" w:hanging="180"/>
      </w:pPr>
    </w:lvl>
    <w:lvl w:ilvl="3" w:tplc="0C09000F" w:tentative="1">
      <w:start w:val="1"/>
      <w:numFmt w:val="decimal"/>
      <w:lvlText w:val="%4."/>
      <w:lvlJc w:val="left"/>
      <w:pPr>
        <w:ind w:left="3353" w:hanging="360"/>
      </w:pPr>
    </w:lvl>
    <w:lvl w:ilvl="4" w:tplc="0C090019" w:tentative="1">
      <w:start w:val="1"/>
      <w:numFmt w:val="lowerLetter"/>
      <w:lvlText w:val="%5."/>
      <w:lvlJc w:val="left"/>
      <w:pPr>
        <w:ind w:left="4073" w:hanging="360"/>
      </w:pPr>
    </w:lvl>
    <w:lvl w:ilvl="5" w:tplc="0C09001B" w:tentative="1">
      <w:start w:val="1"/>
      <w:numFmt w:val="lowerRoman"/>
      <w:lvlText w:val="%6."/>
      <w:lvlJc w:val="right"/>
      <w:pPr>
        <w:ind w:left="4793" w:hanging="180"/>
      </w:pPr>
    </w:lvl>
    <w:lvl w:ilvl="6" w:tplc="0C09000F" w:tentative="1">
      <w:start w:val="1"/>
      <w:numFmt w:val="decimal"/>
      <w:lvlText w:val="%7."/>
      <w:lvlJc w:val="left"/>
      <w:pPr>
        <w:ind w:left="5513" w:hanging="360"/>
      </w:pPr>
    </w:lvl>
    <w:lvl w:ilvl="7" w:tplc="0C090019" w:tentative="1">
      <w:start w:val="1"/>
      <w:numFmt w:val="lowerLetter"/>
      <w:lvlText w:val="%8."/>
      <w:lvlJc w:val="left"/>
      <w:pPr>
        <w:ind w:left="6233" w:hanging="360"/>
      </w:pPr>
    </w:lvl>
    <w:lvl w:ilvl="8" w:tplc="0C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4" w15:restartNumberingAfterBreak="0">
    <w:nsid w:val="46DA4B34"/>
    <w:multiLevelType w:val="hybridMultilevel"/>
    <w:tmpl w:val="B41AF65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003DC"/>
    <w:multiLevelType w:val="hybridMultilevel"/>
    <w:tmpl w:val="7F6CF46E"/>
    <w:lvl w:ilvl="0" w:tplc="918088C8">
      <w:start w:val="1"/>
      <w:numFmt w:val="lowerLetter"/>
      <w:lvlText w:val="(%1)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6" w15:restartNumberingAfterBreak="0">
    <w:nsid w:val="4C506035"/>
    <w:multiLevelType w:val="hybridMultilevel"/>
    <w:tmpl w:val="32C4063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F664E"/>
    <w:multiLevelType w:val="hybridMultilevel"/>
    <w:tmpl w:val="FF6A2B38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526B0986"/>
    <w:multiLevelType w:val="hybridMultilevel"/>
    <w:tmpl w:val="392C9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3990"/>
    <w:multiLevelType w:val="hybridMultilevel"/>
    <w:tmpl w:val="019C13F6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5B201C5E"/>
    <w:multiLevelType w:val="hybridMultilevel"/>
    <w:tmpl w:val="0682F5B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626A50EC"/>
    <w:multiLevelType w:val="hybridMultilevel"/>
    <w:tmpl w:val="62E4547A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64530E2C"/>
    <w:multiLevelType w:val="hybridMultilevel"/>
    <w:tmpl w:val="E09EA1B8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685C7032"/>
    <w:multiLevelType w:val="hybridMultilevel"/>
    <w:tmpl w:val="15B2B9C8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A0F9C"/>
    <w:multiLevelType w:val="hybridMultilevel"/>
    <w:tmpl w:val="018CC562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73584"/>
    <w:multiLevelType w:val="hybridMultilevel"/>
    <w:tmpl w:val="A3649B26"/>
    <w:lvl w:ilvl="0" w:tplc="68FAD4F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06505"/>
    <w:multiLevelType w:val="hybridMultilevel"/>
    <w:tmpl w:val="8458B5A8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7C15757F"/>
    <w:multiLevelType w:val="hybridMultilevel"/>
    <w:tmpl w:val="D6B6A988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40483407">
    <w:abstractNumId w:val="26"/>
  </w:num>
  <w:num w:numId="2" w16cid:durableId="1525247833">
    <w:abstractNumId w:val="9"/>
  </w:num>
  <w:num w:numId="3" w16cid:durableId="309095958">
    <w:abstractNumId w:val="6"/>
  </w:num>
  <w:num w:numId="4" w16cid:durableId="65153480">
    <w:abstractNumId w:val="5"/>
  </w:num>
  <w:num w:numId="5" w16cid:durableId="8144745">
    <w:abstractNumId w:val="24"/>
  </w:num>
  <w:num w:numId="6" w16cid:durableId="1319310246">
    <w:abstractNumId w:val="33"/>
  </w:num>
  <w:num w:numId="7" w16cid:durableId="408381588">
    <w:abstractNumId w:val="16"/>
  </w:num>
  <w:num w:numId="8" w16cid:durableId="1000236541">
    <w:abstractNumId w:val="34"/>
  </w:num>
  <w:num w:numId="9" w16cid:durableId="1196770332">
    <w:abstractNumId w:val="13"/>
  </w:num>
  <w:num w:numId="10" w16cid:durableId="1212155571">
    <w:abstractNumId w:val="23"/>
  </w:num>
  <w:num w:numId="11" w16cid:durableId="494154329">
    <w:abstractNumId w:val="21"/>
  </w:num>
  <w:num w:numId="12" w16cid:durableId="158350366">
    <w:abstractNumId w:val="2"/>
  </w:num>
  <w:num w:numId="13" w16cid:durableId="142428328">
    <w:abstractNumId w:val="8"/>
  </w:num>
  <w:num w:numId="14" w16cid:durableId="1829783433">
    <w:abstractNumId w:val="4"/>
  </w:num>
  <w:num w:numId="15" w16cid:durableId="1721129774">
    <w:abstractNumId w:val="25"/>
  </w:num>
  <w:num w:numId="16" w16cid:durableId="1262182187">
    <w:abstractNumId w:val="28"/>
  </w:num>
  <w:num w:numId="17" w16cid:durableId="758216017">
    <w:abstractNumId w:val="0"/>
  </w:num>
  <w:num w:numId="18" w16cid:durableId="1027947090">
    <w:abstractNumId w:val="11"/>
  </w:num>
  <w:num w:numId="19" w16cid:durableId="580918851">
    <w:abstractNumId w:val="14"/>
  </w:num>
  <w:num w:numId="20" w16cid:durableId="1931617983">
    <w:abstractNumId w:val="17"/>
  </w:num>
  <w:num w:numId="21" w16cid:durableId="1582983079">
    <w:abstractNumId w:val="22"/>
  </w:num>
  <w:num w:numId="22" w16cid:durableId="61830733">
    <w:abstractNumId w:val="18"/>
  </w:num>
  <w:num w:numId="23" w16cid:durableId="1786197728">
    <w:abstractNumId w:val="30"/>
  </w:num>
  <w:num w:numId="24" w16cid:durableId="230893868">
    <w:abstractNumId w:val="20"/>
  </w:num>
  <w:num w:numId="25" w16cid:durableId="727803543">
    <w:abstractNumId w:val="36"/>
  </w:num>
  <w:num w:numId="26" w16cid:durableId="1659916090">
    <w:abstractNumId w:val="15"/>
  </w:num>
  <w:num w:numId="27" w16cid:durableId="741832229">
    <w:abstractNumId w:val="19"/>
  </w:num>
  <w:num w:numId="28" w16cid:durableId="842354029">
    <w:abstractNumId w:val="10"/>
  </w:num>
  <w:num w:numId="29" w16cid:durableId="1349714392">
    <w:abstractNumId w:val="37"/>
  </w:num>
  <w:num w:numId="30" w16cid:durableId="1935622670">
    <w:abstractNumId w:val="29"/>
  </w:num>
  <w:num w:numId="31" w16cid:durableId="1431311719">
    <w:abstractNumId w:val="27"/>
  </w:num>
  <w:num w:numId="32" w16cid:durableId="1339036669">
    <w:abstractNumId w:val="1"/>
  </w:num>
  <w:num w:numId="33" w16cid:durableId="50739352">
    <w:abstractNumId w:val="32"/>
  </w:num>
  <w:num w:numId="34" w16cid:durableId="1867987178">
    <w:abstractNumId w:val="7"/>
  </w:num>
  <w:num w:numId="35" w16cid:durableId="1774013003">
    <w:abstractNumId w:val="31"/>
  </w:num>
  <w:num w:numId="36" w16cid:durableId="1973364200">
    <w:abstractNumId w:val="12"/>
  </w:num>
  <w:num w:numId="37" w16cid:durableId="1254776604">
    <w:abstractNumId w:val="3"/>
  </w:num>
  <w:num w:numId="38" w16cid:durableId="13364207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27"/>
    <w:rsid w:val="00056D3F"/>
    <w:rsid w:val="000929B2"/>
    <w:rsid w:val="0016577D"/>
    <w:rsid w:val="0017040E"/>
    <w:rsid w:val="00192298"/>
    <w:rsid w:val="001F378E"/>
    <w:rsid w:val="00261828"/>
    <w:rsid w:val="002B2F7E"/>
    <w:rsid w:val="00362831"/>
    <w:rsid w:val="003B4656"/>
    <w:rsid w:val="00484CE2"/>
    <w:rsid w:val="00534D43"/>
    <w:rsid w:val="00556713"/>
    <w:rsid w:val="005D178C"/>
    <w:rsid w:val="00637E8A"/>
    <w:rsid w:val="006519C1"/>
    <w:rsid w:val="00651C8F"/>
    <w:rsid w:val="00686492"/>
    <w:rsid w:val="006E1597"/>
    <w:rsid w:val="006F353D"/>
    <w:rsid w:val="006F5C5F"/>
    <w:rsid w:val="007113DB"/>
    <w:rsid w:val="00755467"/>
    <w:rsid w:val="007D2AD8"/>
    <w:rsid w:val="00826900"/>
    <w:rsid w:val="00827039"/>
    <w:rsid w:val="009271AD"/>
    <w:rsid w:val="00B04A59"/>
    <w:rsid w:val="00B076D1"/>
    <w:rsid w:val="00B425EA"/>
    <w:rsid w:val="00B613E5"/>
    <w:rsid w:val="00BA6927"/>
    <w:rsid w:val="00BC028A"/>
    <w:rsid w:val="00C97543"/>
    <w:rsid w:val="00CD1288"/>
    <w:rsid w:val="00D375ED"/>
    <w:rsid w:val="00D873A6"/>
    <w:rsid w:val="00EA1BDA"/>
    <w:rsid w:val="00F55406"/>
    <w:rsid w:val="00F760FE"/>
    <w:rsid w:val="00F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36AE"/>
  <w15:chartTrackingRefBased/>
  <w15:docId w15:val="{319B7DE2-A1D7-4C91-A136-CD2BD00B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39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13"/>
    <w:pPr>
      <w:keepNext/>
      <w:keepLines/>
      <w:spacing w:before="480"/>
      <w:outlineLvl w:val="0"/>
    </w:pPr>
    <w:rPr>
      <w:rFonts w:eastAsiaTheme="majorEastAsia" w:cstheme="majorBidi"/>
      <w:b/>
      <w:bCs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13"/>
    <w:pPr>
      <w:keepNext/>
      <w:keepLines/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13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6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713"/>
    <w:rPr>
      <w:rFonts w:ascii="Arial" w:eastAsiaTheme="majorEastAsia" w:hAnsi="Arial" w:cstheme="majorBidi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713"/>
    <w:rPr>
      <w:rFonts w:ascii="Arial" w:eastAsiaTheme="majorEastAsia" w:hAnsi="Arial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56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5671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2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27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2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27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2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27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27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aliases w:val="GC4,List Paragraph1,Dot-Point Font,SGC Cell Copy,OPG List Paragraph,Figure heading,Decision Style"/>
    <w:basedOn w:val="Normal"/>
    <w:uiPriority w:val="34"/>
    <w:qFormat/>
    <w:rsid w:val="00BA6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27"/>
    <w:rPr>
      <w:rFonts w:ascii="Arial" w:hAnsi="Arial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BA692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2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27"/>
    <w:rPr>
      <w:rFonts w:ascii="Arial" w:hAnsi="Arial"/>
      <w:sz w:val="20"/>
    </w:rPr>
  </w:style>
  <w:style w:type="character" w:customStyle="1" w:styleId="normaltextrun">
    <w:name w:val="normaltextrun"/>
    <w:basedOn w:val="DefaultParagraphFont"/>
    <w:rsid w:val="00BA6927"/>
  </w:style>
  <w:style w:type="character" w:customStyle="1" w:styleId="wacimagecontainer">
    <w:name w:val="wacimagecontainer"/>
    <w:basedOn w:val="DefaultParagraphFont"/>
    <w:rsid w:val="00BA6927"/>
  </w:style>
  <w:style w:type="paragraph" w:customStyle="1" w:styleId="TableParagraph">
    <w:name w:val="Table Paragraph"/>
    <w:basedOn w:val="Normal"/>
    <w:uiPriority w:val="1"/>
    <w:qFormat/>
    <w:rsid w:val="00362831"/>
    <w:rPr>
      <w:rFonts w:cs="Arial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unhideWhenUsed/>
    <w:rsid w:val="00651C8F"/>
    <w:pPr>
      <w:ind w:left="200" w:hanging="200"/>
    </w:pPr>
    <w:rPr>
      <w:rFonts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DRC Document" ma:contentTypeID="0x010100203655BA52479242887340A5387A6136002EF9F6DE6B45144187D24C0096D5AC9D" ma:contentTypeVersion="27" ma:contentTypeDescription="Create a WDRC document" ma:contentTypeScope="" ma:versionID="e112b25b2d83b44ac1d10e604b455347">
  <xsd:schema xmlns:xsd="http://www.w3.org/2001/XMLSchema" xmlns:xs="http://www.w3.org/2001/XMLSchema" xmlns:p="http://schemas.microsoft.com/office/2006/metadata/properties" xmlns:ns1="http://schemas.microsoft.com/sharepoint/v3" xmlns:ns2="a5185c80-ba22-46da-a0c3-f76a6db09c0b" xmlns:ns3="a2020b65-9c0b-4b74-9182-9ff215772a0c" targetNamespace="http://schemas.microsoft.com/office/2006/metadata/properties" ma:root="true" ma:fieldsID="7d2ffd7954979897a8ed820a1f377e06" ns1:_="" ns2:_="" ns3:_="">
    <xsd:import namespace="http://schemas.microsoft.com/sharepoint/v3"/>
    <xsd:import namespace="a5185c80-ba22-46da-a0c3-f76a6db09c0b"/>
    <xsd:import namespace="a2020b65-9c0b-4b74-9182-9ff215772a0c"/>
    <xsd:element name="properties">
      <xsd:complexType>
        <xsd:sequence>
          <xsd:element name="documentManagement">
            <xsd:complexType>
              <xsd:all>
                <xsd:element ref="ns1:e458bd969d554ede9f96bc7654b3db2e" minOccurs="0"/>
                <xsd:element ref="ns2:TaxCatchAll" minOccurs="0"/>
                <xsd:element ref="ns2:TaxCatchAllLabel" minOccurs="0"/>
                <xsd:element ref="ns1:o7fc12a2bb3d48bc9154e8faf39155f7" minOccurs="0"/>
                <xsd:element ref="ns1:g072d901cdbd4c0daa50c2b9827649ed" minOccurs="0"/>
                <xsd:element ref="ns1:fbf4ee4791094b10ba45d2a6b8881eab" minOccurs="0"/>
                <xsd:element ref="ns1:a06e593cb8d4461091199b17c33719a2" minOccurs="0"/>
                <xsd:element ref="ns1:ac4d8d4edc4e4bbc96ea6d742262e422" minOccurs="0"/>
                <xsd:element ref="ns1:n154bfaa042446e1873c36b030d96572" minOccurs="0"/>
                <xsd:element ref="ns2:paef67daf2524f57a34527d2b9b6924f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458bd969d554ede9f96bc7654b3db2e" ma:index="8" nillable="true" ma:taxonomy="true" ma:internalName="e458bd969d554ede9f96bc7654b3db2e" ma:taxonomyFieldName="WDRCFunction" ma:displayName="WDRC Function" ma:default="" ma:fieldId="{e458bd96-9d55-4ede-9f96-bc7654b3db2e}" ma:sspId="fc5f5596-49e4-4d1b-8c17-782bd9155381" ma:termSetId="9ab2d43b-2e7d-4b79-aa23-f2c8bfc23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fc12a2bb3d48bc9154e8faf39155f7" ma:index="12" nillable="true" ma:taxonomy="true" ma:internalName="o7fc12a2bb3d48bc9154e8faf39155f7" ma:taxonomyFieldName="WDRCLocation" ma:displayName="WDRC Location" ma:default="" ma:fieldId="{87fc12a2-bb3d-48bc-9154-e8faf39155f7}" ma:sspId="fc5f5596-49e4-4d1b-8c17-782bd9155381" ma:termSetId="04d6061a-27c4-4f81-b243-cd52dd585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72d901cdbd4c0daa50c2b9827649ed" ma:index="14" nillable="true" ma:taxonomy="true" ma:internalName="g072d901cdbd4c0daa50c2b9827649ed" ma:taxonomyFieldName="WDRCTopic" ma:displayName="Topic" ma:default="" ma:fieldId="{0072d901-cdbd-4c0d-aa50-c2b9827649ed}" ma:sspId="fc5f5596-49e4-4d1b-8c17-782bd9155381" ma:termSetId="58c1fa3e-f019-40fa-a4ea-363ae0b4cd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f4ee4791094b10ba45d2a6b8881eab" ma:index="16" nillable="true" ma:taxonomy="true" ma:internalName="fbf4ee4791094b10ba45d2a6b8881eab" ma:taxonomyFieldName="WDRCTeam" ma:displayName="WDRC Team" ma:default="" ma:fieldId="{fbf4ee47-9109-4b10-ba45-d2a6b8881eab}" ma:sspId="fc5f5596-49e4-4d1b-8c17-782bd9155381" ma:termSetId="cc5e43f6-e657-417e-9378-17d853386c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6e593cb8d4461091199b17c33719a2" ma:index="18" nillable="true" ma:taxonomy="true" ma:internalName="a06e593cb8d4461091199b17c33719a2" ma:taxonomyFieldName="WDRCDivision" ma:displayName="WDRC Division" ma:default="" ma:fieldId="{a06e593c-b8d4-4610-9119-9b17c33719a2}" ma:sspId="fc5f5596-49e4-4d1b-8c17-782bd9155381" ma:termSetId="50388798-186f-495e-8322-88644abe90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4d8d4edc4e4bbc96ea6d742262e422" ma:index="20" nillable="true" ma:taxonomy="true" ma:internalName="ac4d8d4edc4e4bbc96ea6d742262e422" ma:taxonomyFieldName="WDRCFinancialYear" ma:displayName="Financial Year" ma:default="" ma:fieldId="{ac4d8d4e-dc4e-4bbc-96ea-6d742262e422}" ma:sspId="fc5f5596-49e4-4d1b-8c17-782bd9155381" ma:termSetId="7040e64f-887f-4a10-8d51-a17e7d6a5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54bfaa042446e1873c36b030d96572" ma:index="22" nillable="true" ma:taxonomy="true" ma:internalName="n154bfaa042446e1873c36b030d96572" ma:taxonomyFieldName="WDRCDocumentType" ma:displayName="Document Type" ma:default="" ma:fieldId="{7154bfaa-0424-46e1-873c-36b030d96572}" ma:sspId="fc5f5596-49e4-4d1b-8c17-782bd9155381" ma:termSetId="b471663b-3068-449a-9948-e5b1051b2e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85c80-ba22-46da-a0c3-f76a6db09c0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3bc22a1-dba5-4be1-a1bc-a7b6aa4b3ab7}" ma:internalName="TaxCatchAll" ma:showField="CatchAllData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bc22a1-dba5-4be1-a1bc-a7b6aa4b3ab7}" ma:internalName="TaxCatchAllLabel" ma:readOnly="true" ma:showField="CatchAllDataLabel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ef67daf2524f57a34527d2b9b6924f" ma:index="25" nillable="true" ma:taxonomy="true" ma:internalName="paef67daf2524f57a34527d2b9b6924f" ma:taxonomyFieldName="Calendar_x0020_Year" ma:displayName="Calendar Year" ma:default="" ma:fieldId="{9aef67da-f252-4f57-a345-27d2b9b6924f}" ma:sspId="fc5f5596-49e4-4d1b-8c17-782bd9155381" ma:termSetId="0e14de43-6bb6-4d35-b1a9-4e4013a72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0b65-9c0b-4b74-9182-9ff21577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c5f5596-49e4-4d1b-8c17-782bd9155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f4ee4791094b10ba45d2a6b8881eab xmlns="http://schemas.microsoft.com/sharepoint/v3">
      <Terms xmlns="http://schemas.microsoft.com/office/infopath/2007/PartnerControls"/>
    </fbf4ee4791094b10ba45d2a6b8881eab>
    <e458bd969d554ede9f96bc7654b3db2e xmlns="http://schemas.microsoft.com/sharepoint/v3">
      <Terms xmlns="http://schemas.microsoft.com/office/infopath/2007/PartnerControls"/>
    </e458bd969d554ede9f96bc7654b3db2e>
    <lcf76f155ced4ddcb4097134ff3c332f xmlns="a2020b65-9c0b-4b74-9182-9ff215772a0c">
      <Terms xmlns="http://schemas.microsoft.com/office/infopath/2007/PartnerControls"/>
    </lcf76f155ced4ddcb4097134ff3c332f>
    <TaxCatchAll xmlns="a5185c80-ba22-46da-a0c3-f76a6db09c0b" xsi:nil="true"/>
    <paef67daf2524f57a34527d2b9b6924f xmlns="a5185c80-ba22-46da-a0c3-f76a6db09c0b">
      <Terms xmlns="http://schemas.microsoft.com/office/infopath/2007/PartnerControls"/>
    </paef67daf2524f57a34527d2b9b6924f>
    <ac4d8d4edc4e4bbc96ea6d742262e422 xmlns="http://schemas.microsoft.com/sharepoint/v3">
      <Terms xmlns="http://schemas.microsoft.com/office/infopath/2007/PartnerControls"/>
    </ac4d8d4edc4e4bbc96ea6d742262e422>
    <n154bfaa042446e1873c36b030d96572 xmlns="http://schemas.microsoft.com/sharepoint/v3">
      <Terms xmlns="http://schemas.microsoft.com/office/infopath/2007/PartnerControls"/>
    </n154bfaa042446e1873c36b030d96572>
    <g072d901cdbd4c0daa50c2b9827649ed xmlns="http://schemas.microsoft.com/sharepoint/v3">
      <Terms xmlns="http://schemas.microsoft.com/office/infopath/2007/PartnerControls"/>
    </g072d901cdbd4c0daa50c2b9827649ed>
    <a06e593cb8d4461091199b17c33719a2 xmlns="http://schemas.microsoft.com/sharepoint/v3">
      <Terms xmlns="http://schemas.microsoft.com/office/infopath/2007/PartnerControls"/>
    </a06e593cb8d4461091199b17c33719a2>
    <o7fc12a2bb3d48bc9154e8faf39155f7 xmlns="http://schemas.microsoft.com/sharepoint/v3">
      <Terms xmlns="http://schemas.microsoft.com/office/infopath/2007/PartnerControls"/>
    </o7fc12a2bb3d48bc9154e8faf39155f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373-D300-48EE-B081-96161E35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185c80-ba22-46da-a0c3-f76a6db09c0b"/>
    <ds:schemaRef ds:uri="a2020b65-9c0b-4b74-9182-9ff215772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6729-E476-4856-BE47-C687F216C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CFB11-ED29-4D5F-9234-909D4ACDB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020b65-9c0b-4b74-9182-9ff215772a0c"/>
    <ds:schemaRef ds:uri="a5185c80-ba22-46da-a0c3-f76a6db09c0b"/>
  </ds:schemaRefs>
</ds:datastoreItem>
</file>

<file path=customXml/itemProps4.xml><?xml version="1.0" encoding="utf-8"?>
<ds:datastoreItem xmlns:ds="http://schemas.openxmlformats.org/officeDocument/2006/customXml" ds:itemID="{A6F6A712-E0E8-4F55-A1D9-08D77FC0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Downs Regional Council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Jenny Cameron</cp:lastModifiedBy>
  <cp:revision>26</cp:revision>
  <dcterms:created xsi:type="dcterms:W3CDTF">2025-08-21T01:24:00Z</dcterms:created>
  <dcterms:modified xsi:type="dcterms:W3CDTF">2025-08-21T02:31:00Z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0x010100203655BA52479242887340A5387A6136002EF9F6DE6B45144187D24C0096D5AC9D</vt:lpwstr>
  </property>
  <property fmtid="{D5CDD505-2E9C-101B-9397-08002B2CF9AE}" pid="3" name="WDRCDivision">
    <vt:lpwstr/>
  </property>
  <property fmtid="{D5CDD505-2E9C-101B-9397-08002B2CF9AE}" pid="4" name="WDRCDocumentType">
    <vt:lpwstr/>
  </property>
  <property fmtid="{D5CDD505-2E9C-101B-9397-08002B2CF9AE}" pid="5" name="WDRCLocation">
    <vt:lpwstr/>
  </property>
  <property fmtid="{D5CDD505-2E9C-101B-9397-08002B2CF9AE}" pid="6" name="WDRCTeam">
    <vt:lpwstr/>
  </property>
  <property fmtid="{D5CDD505-2E9C-101B-9397-08002B2CF9AE}" pid="7" name="Calendar_x0020_Year">
    <vt:lpwstr/>
  </property>
  <property fmtid="{D5CDD505-2E9C-101B-9397-08002B2CF9AE}" pid="8" name="WDRCFunction">
    <vt:lpwstr/>
  </property>
  <property fmtid="{D5CDD505-2E9C-101B-9397-08002B2CF9AE}" pid="9" name="WDRCTopic">
    <vt:lpwstr/>
  </property>
  <property fmtid="{D5CDD505-2E9C-101B-9397-08002B2CF9AE}" pid="10" name="Calendar Year">
    <vt:lpwstr/>
  </property>
  <property fmtid="{D5CDD505-2E9C-101B-9397-08002B2CF9AE}" pid="11" name="WDRCFinancialYear">
    <vt:lpwstr/>
  </property>
  <property fmtid="{D5CDD505-2E9C-101B-9397-08002B2CF9AE}" pid="12" name="MediaServiceImageTags">
    <vt:lpwstr/>
  </property>
</Properties>
</file>